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76" w:rsidRDefault="00A323B1" w:rsidP="00F0354A">
      <w:pPr>
        <w:pStyle w:val="Corpotesto"/>
        <w:ind w:left="4195"/>
        <w:rPr>
          <w:sz w:val="20"/>
        </w:rPr>
      </w:pPr>
      <w:r>
        <w:rPr>
          <w:noProof/>
          <w:sz w:val="20"/>
          <w:lang w:eastAsia="it-IT"/>
        </w:rPr>
        <w:drawing>
          <wp:inline distT="0" distB="0" distL="0" distR="0">
            <wp:extent cx="883715"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83715" cy="882396"/>
                    </a:xfrm>
                    <a:prstGeom prst="rect">
                      <a:avLst/>
                    </a:prstGeom>
                  </pic:spPr>
                </pic:pic>
              </a:graphicData>
            </a:graphic>
          </wp:inline>
        </w:drawing>
      </w:r>
    </w:p>
    <w:p w:rsidR="00383F76" w:rsidRDefault="00383F76">
      <w:pPr>
        <w:pStyle w:val="Corpotesto"/>
        <w:spacing w:before="10"/>
        <w:rPr>
          <w:sz w:val="15"/>
        </w:rPr>
      </w:pPr>
    </w:p>
    <w:p w:rsidR="00637017" w:rsidRDefault="00A323B1">
      <w:pPr>
        <w:pStyle w:val="Corpotesto"/>
        <w:spacing w:before="90"/>
        <w:ind w:left="2581" w:right="2585"/>
        <w:jc w:val="center"/>
        <w:rPr>
          <w:spacing w:val="-1"/>
        </w:rPr>
      </w:pPr>
      <w:r>
        <w:t>SEGRETERIA</w:t>
      </w:r>
      <w:r>
        <w:rPr>
          <w:spacing w:val="-3"/>
        </w:rPr>
        <w:t xml:space="preserve"> </w:t>
      </w:r>
      <w:r w:rsidR="00637017">
        <w:t>COMUNALE</w:t>
      </w:r>
    </w:p>
    <w:p w:rsidR="00383F76" w:rsidRDefault="00A323B1">
      <w:pPr>
        <w:pStyle w:val="Corpotesto"/>
        <w:spacing w:before="90"/>
        <w:ind w:left="2581" w:right="2585"/>
        <w:jc w:val="center"/>
      </w:pPr>
      <w:r>
        <w:t>FDI</w:t>
      </w:r>
      <w:r>
        <w:rPr>
          <w:spacing w:val="-7"/>
        </w:rPr>
        <w:t xml:space="preserve"> </w:t>
      </w:r>
      <w:r>
        <w:t>TRAPANI</w:t>
      </w:r>
      <w:r w:rsidR="00637017">
        <w:t xml:space="preserve"> - ERICE</w:t>
      </w:r>
    </w:p>
    <w:p w:rsidR="00383F76" w:rsidRDefault="00383F76">
      <w:pPr>
        <w:pStyle w:val="Corpotesto"/>
        <w:rPr>
          <w:sz w:val="20"/>
        </w:rPr>
      </w:pPr>
    </w:p>
    <w:p w:rsidR="0083592D" w:rsidRDefault="0083592D" w:rsidP="000F4274">
      <w:pPr>
        <w:pStyle w:val="Corpotesto"/>
        <w:spacing w:line="360" w:lineRule="auto"/>
        <w:jc w:val="both"/>
        <w:rPr>
          <w:sz w:val="20"/>
        </w:rPr>
      </w:pPr>
    </w:p>
    <w:p w:rsidR="001D1C85" w:rsidRPr="0083592D" w:rsidRDefault="0083592D" w:rsidP="000F4274">
      <w:pPr>
        <w:pStyle w:val="Corpotesto"/>
        <w:spacing w:line="360" w:lineRule="auto"/>
        <w:jc w:val="both"/>
        <w:rPr>
          <w:b/>
          <w:color w:val="1F497D" w:themeColor="text2"/>
          <w:sz w:val="22"/>
          <w:szCs w:val="22"/>
          <w:u w:val="single"/>
        </w:rPr>
      </w:pPr>
      <w:r w:rsidRPr="0083592D">
        <w:rPr>
          <w:b/>
          <w:sz w:val="20"/>
          <w:u w:val="single"/>
        </w:rPr>
        <w:t>ANNOTAZION</w:t>
      </w:r>
      <w:r>
        <w:rPr>
          <w:b/>
          <w:sz w:val="20"/>
          <w:u w:val="single"/>
        </w:rPr>
        <w:t>I</w:t>
      </w:r>
      <w:bookmarkStart w:id="0" w:name="_GoBack"/>
      <w:bookmarkEnd w:id="0"/>
      <w:r w:rsidRPr="0083592D">
        <w:rPr>
          <w:b/>
          <w:sz w:val="20"/>
          <w:u w:val="single"/>
        </w:rPr>
        <w:t>:</w:t>
      </w:r>
    </w:p>
    <w:p w:rsidR="000F4274" w:rsidRDefault="000F4274" w:rsidP="00045AE6">
      <w:pPr>
        <w:pStyle w:val="Corpotesto"/>
        <w:spacing w:line="480" w:lineRule="auto"/>
        <w:ind w:right="111"/>
        <w:jc w:val="both"/>
        <w:rPr>
          <w:sz w:val="22"/>
          <w:szCs w:val="22"/>
        </w:rPr>
      </w:pPr>
    </w:p>
    <w:p w:rsidR="00A43655" w:rsidRDefault="006B10B9" w:rsidP="00A43655">
      <w:pPr>
        <w:pStyle w:val="Corpotesto"/>
        <w:spacing w:line="360" w:lineRule="auto"/>
        <w:ind w:left="720" w:hanging="720"/>
        <w:jc w:val="both"/>
        <w:rPr>
          <w:b/>
          <w:i/>
          <w:sz w:val="22"/>
          <w:szCs w:val="22"/>
        </w:rPr>
      </w:pPr>
      <w:r w:rsidRPr="00C70A1C">
        <w:rPr>
          <w:sz w:val="22"/>
          <w:szCs w:val="22"/>
        </w:rPr>
        <w:t>Lo Studio citato nell’articolo cui finalità è l’analisi e la valutazione di 11 misure del PNRR di rilevante interesse per le città italiane, per le quali sono stati allocati nel 2021-22 20,5 miliardi. Esse riguardano interventi di rigenerazione urbana, su reti e mezzi per il trasporto pubblico, sui porti, sugli edifici giudiziari e di edilizia residenziale pubblica. Sono presentate le loro caratteristiche, i possibili beneficiari e i criteri per la ripartizione delle risorse</w:t>
      </w:r>
      <w:r w:rsidR="00837A86" w:rsidRPr="00C70A1C">
        <w:rPr>
          <w:sz w:val="22"/>
          <w:szCs w:val="22"/>
        </w:rPr>
        <w:t>.</w:t>
      </w:r>
    </w:p>
    <w:p w:rsidR="00837A86" w:rsidRPr="00A43655" w:rsidRDefault="00837A86" w:rsidP="00A43655">
      <w:pPr>
        <w:pStyle w:val="Corpotesto"/>
        <w:spacing w:line="360" w:lineRule="auto"/>
        <w:ind w:left="720" w:hanging="720"/>
        <w:jc w:val="both"/>
        <w:rPr>
          <w:b/>
          <w:i/>
          <w:sz w:val="22"/>
          <w:szCs w:val="22"/>
        </w:rPr>
      </w:pPr>
      <w:r w:rsidRPr="00C70A1C">
        <w:rPr>
          <w:sz w:val="22"/>
          <w:szCs w:val="22"/>
        </w:rPr>
        <w:t>Alcune città hanno ricevuto un ammontare molto significativo di risorse; ma la varianza della distribuzione è ampia: e in ben 40 capoluoghi l’intensità degli investimenti è meno della metà della media. Fra di essi, importanti realtà delle regioni più deboli, Calabria, Sicilia e Sardegna. Alle città del Sud è destinato il 38% del totale degli investimenti allocati fra le città, con grandi differenze fra misura e misura a seconda dei criteri utilizzati: ma essi tendono a concentrarsi solo in alcune di esse.</w:t>
      </w:r>
    </w:p>
    <w:p w:rsidR="00837A86" w:rsidRPr="00C70A1C" w:rsidRDefault="00837A86" w:rsidP="00A43655">
      <w:pPr>
        <w:pStyle w:val="Corpotesto"/>
        <w:spacing w:line="360" w:lineRule="auto"/>
        <w:ind w:left="720" w:hanging="720"/>
        <w:jc w:val="both"/>
        <w:rPr>
          <w:sz w:val="22"/>
          <w:szCs w:val="22"/>
        </w:rPr>
      </w:pPr>
      <w:r w:rsidRPr="00C70A1C">
        <w:rPr>
          <w:sz w:val="22"/>
          <w:szCs w:val="22"/>
        </w:rPr>
        <w:t>Preoccupano le effettive capacità dei comuni italiani di realizzare, nei tempi previsti e con qualità, tutti questi investimenti, alla luce della circostanza che le amministrazioni sono molto impoverite di personale e di competenze tecniche. Il quadro è più preoccupante nelle città del Sud:</w:t>
      </w:r>
    </w:p>
    <w:p w:rsidR="00837A86" w:rsidRPr="00C70A1C" w:rsidRDefault="00837A86" w:rsidP="00A43655">
      <w:pPr>
        <w:pStyle w:val="Corpotesto"/>
        <w:spacing w:line="360" w:lineRule="auto"/>
        <w:ind w:left="720" w:hanging="720"/>
        <w:jc w:val="both"/>
        <w:rPr>
          <w:sz w:val="22"/>
          <w:szCs w:val="22"/>
        </w:rPr>
      </w:pPr>
      <w:r w:rsidRPr="00C70A1C">
        <w:rPr>
          <w:sz w:val="22"/>
          <w:szCs w:val="22"/>
        </w:rPr>
        <w:t>L’effetto più importante del PNRR si dispiegherà dopo che questi investimenti saranno realizzati, e da essi si genereranno nuovi e migliori servizi per i cittadini e le imprese: ma questo dipenderà tanto dalle dotazioni finanziarie di spesa corrente delle amministrazioni (al momento ignote), quanto dalla loro capacità di raccordare gli interventi in coerenti strategie urbane, partecipate dai cittadini.</w:t>
      </w:r>
    </w:p>
    <w:p w:rsidR="00837A86" w:rsidRPr="00C70A1C" w:rsidRDefault="00837A86" w:rsidP="00A43655">
      <w:pPr>
        <w:pStyle w:val="Corpotesto"/>
        <w:spacing w:line="360" w:lineRule="auto"/>
        <w:ind w:left="720" w:hanging="720"/>
        <w:jc w:val="both"/>
        <w:rPr>
          <w:sz w:val="22"/>
          <w:szCs w:val="22"/>
        </w:rPr>
      </w:pPr>
      <w:r w:rsidRPr="00C70A1C">
        <w:rPr>
          <w:sz w:val="22"/>
          <w:szCs w:val="22"/>
        </w:rPr>
        <w:t xml:space="preserve">Nell’insieme il Piano copre tutti gli ambiti di intervento pubblico. Per le regole comunitarie, il Piano interviene in misura nettamente prevalente finanziando spesa in conto capitale: si tratta prevalentemente di un grande piano di opere pubbliche. </w:t>
      </w:r>
    </w:p>
    <w:p w:rsidR="00837A86" w:rsidRPr="00C70A1C" w:rsidRDefault="00837A86" w:rsidP="00A43655">
      <w:pPr>
        <w:pStyle w:val="Corpotesto"/>
        <w:spacing w:line="360" w:lineRule="auto"/>
        <w:ind w:left="720" w:hanging="720"/>
        <w:jc w:val="both"/>
        <w:rPr>
          <w:sz w:val="22"/>
          <w:szCs w:val="22"/>
        </w:rPr>
      </w:pPr>
      <w:r w:rsidRPr="00C70A1C">
        <w:rPr>
          <w:sz w:val="22"/>
          <w:szCs w:val="22"/>
        </w:rPr>
        <w:t xml:space="preserve">Il 62% dei finanziamenti del PNRR si traducono direttamente in interventi pubblici, per oltre la metà costruzioni e edilizia civile </w:t>
      </w:r>
    </w:p>
    <w:p w:rsidR="00837A86" w:rsidRPr="00C70A1C" w:rsidRDefault="00837A86" w:rsidP="00A43655">
      <w:pPr>
        <w:pStyle w:val="Corpotesto"/>
        <w:spacing w:line="360" w:lineRule="auto"/>
        <w:ind w:left="720" w:hanging="720"/>
        <w:jc w:val="both"/>
        <w:rPr>
          <w:sz w:val="22"/>
          <w:szCs w:val="22"/>
        </w:rPr>
      </w:pPr>
      <w:r w:rsidRPr="00C70A1C">
        <w:rPr>
          <w:sz w:val="22"/>
          <w:szCs w:val="22"/>
        </w:rPr>
        <w:t xml:space="preserve">Una parte delle risorse è stata già attribuita nel testo del PNRR o del FC, per progetti già individuati e localizzati territorialmente; si tratta in misura rilevante di investimenti affidati a grandi attuatori facenti parte del settore pubblico allargato, come nel rilevantissimo caso delle reti ferroviarie, destinate in misura quasi totale a RFI; ma è anche il caso dei Grandi Progetti per la Cultura da realizzare nelle grandi città italiane, di cui si dirà più avanti, il cui elenco è incluso nel testo del FC. Si può stimare indicativamente che essi coprano circa il 20% dell’importo totale. </w:t>
      </w:r>
    </w:p>
    <w:p w:rsidR="00683913" w:rsidRPr="00C70A1C" w:rsidRDefault="00837A86" w:rsidP="00A43655">
      <w:pPr>
        <w:pStyle w:val="Corpotesto"/>
        <w:spacing w:line="360" w:lineRule="auto"/>
        <w:ind w:left="720" w:hanging="720"/>
        <w:jc w:val="both"/>
        <w:rPr>
          <w:sz w:val="22"/>
          <w:szCs w:val="22"/>
        </w:rPr>
      </w:pPr>
      <w:r w:rsidRPr="00C70A1C">
        <w:rPr>
          <w:sz w:val="22"/>
          <w:szCs w:val="22"/>
        </w:rPr>
        <w:lastRenderedPageBreak/>
        <w:t xml:space="preserve">Con il meccanismo dei bandi si è compiuta una scelta politica molto importante (e discutibile): il Governo privilegia la </w:t>
      </w:r>
      <w:proofErr w:type="spellStart"/>
      <w:r w:rsidRPr="00C70A1C">
        <w:rPr>
          <w:sz w:val="22"/>
          <w:szCs w:val="22"/>
        </w:rPr>
        <w:t>cantierabilità</w:t>
      </w:r>
      <w:proofErr w:type="spellEnd"/>
      <w:r w:rsidRPr="00C70A1C">
        <w:rPr>
          <w:sz w:val="22"/>
          <w:szCs w:val="22"/>
        </w:rPr>
        <w:t xml:space="preserve"> dei progetti, cioè comprensibilmente desidera controllare che essi dispongano di tutte le caratteristiche che li rendono effettivamente realizzabili entro il giugno 2026. </w:t>
      </w:r>
    </w:p>
    <w:p w:rsidR="00683913" w:rsidRPr="00A43655" w:rsidRDefault="00683913" w:rsidP="00A43655">
      <w:pPr>
        <w:pStyle w:val="Corpotesto"/>
        <w:spacing w:line="360" w:lineRule="auto"/>
        <w:ind w:left="720" w:hanging="720"/>
        <w:jc w:val="both"/>
        <w:rPr>
          <w:b/>
          <w:bCs/>
          <w:sz w:val="22"/>
          <w:szCs w:val="22"/>
          <w:u w:val="single"/>
        </w:rPr>
      </w:pPr>
      <w:r w:rsidRPr="00A43655">
        <w:rPr>
          <w:b/>
          <w:bCs/>
          <w:sz w:val="22"/>
          <w:szCs w:val="22"/>
          <w:highlight w:val="yellow"/>
          <w:u w:val="single"/>
        </w:rPr>
        <w:t>Le misure del PNRR nelle città</w:t>
      </w:r>
    </w:p>
    <w:p w:rsidR="00683913" w:rsidRPr="00C70A1C" w:rsidRDefault="00683913" w:rsidP="00A43655">
      <w:pPr>
        <w:pStyle w:val="Corpotesto"/>
        <w:spacing w:line="360" w:lineRule="auto"/>
        <w:ind w:left="720" w:hanging="720"/>
        <w:jc w:val="both"/>
        <w:rPr>
          <w:sz w:val="22"/>
          <w:szCs w:val="22"/>
        </w:rPr>
      </w:pPr>
      <w:r w:rsidRPr="00C70A1C">
        <w:rPr>
          <w:b/>
          <w:bCs/>
          <w:i/>
          <w:iCs/>
          <w:sz w:val="22"/>
          <w:szCs w:val="22"/>
        </w:rPr>
        <w:t xml:space="preserve">Misura 1 </w:t>
      </w:r>
      <w:proofErr w:type="spellStart"/>
      <w:r w:rsidRPr="00C70A1C">
        <w:rPr>
          <w:b/>
          <w:bCs/>
          <w:i/>
          <w:iCs/>
          <w:sz w:val="22"/>
          <w:szCs w:val="22"/>
        </w:rPr>
        <w:t>Pinqua</w:t>
      </w:r>
      <w:proofErr w:type="spellEnd"/>
      <w:r w:rsidRPr="00C70A1C">
        <w:rPr>
          <w:b/>
          <w:bCs/>
          <w:i/>
          <w:iCs/>
          <w:sz w:val="22"/>
          <w:szCs w:val="22"/>
        </w:rPr>
        <w:t xml:space="preserve">. </w:t>
      </w:r>
      <w:r w:rsidRPr="00C70A1C">
        <w:rPr>
          <w:sz w:val="22"/>
          <w:szCs w:val="22"/>
        </w:rPr>
        <w:t>Il Programma Innovativo della Qualità dell'Abitare (</w:t>
      </w:r>
      <w:proofErr w:type="spellStart"/>
      <w:r w:rsidRPr="00C70A1C">
        <w:rPr>
          <w:sz w:val="22"/>
          <w:szCs w:val="22"/>
        </w:rPr>
        <w:t>PinQua</w:t>
      </w:r>
      <w:proofErr w:type="spellEnd"/>
      <w:r w:rsidRPr="00C70A1C">
        <w:rPr>
          <w:sz w:val="22"/>
          <w:szCs w:val="22"/>
        </w:rPr>
        <w:t xml:space="preserve">) </w:t>
      </w:r>
    </w:p>
    <w:p w:rsidR="00683913" w:rsidRPr="00C70A1C" w:rsidRDefault="00683913" w:rsidP="00A43655">
      <w:pPr>
        <w:pStyle w:val="Corpotesto"/>
        <w:spacing w:line="360" w:lineRule="auto"/>
        <w:ind w:left="720" w:hanging="720"/>
        <w:jc w:val="both"/>
        <w:rPr>
          <w:sz w:val="22"/>
          <w:szCs w:val="22"/>
        </w:rPr>
      </w:pPr>
      <w:proofErr w:type="gramStart"/>
      <w:r w:rsidRPr="00C70A1C">
        <w:rPr>
          <w:sz w:val="22"/>
          <w:szCs w:val="22"/>
        </w:rPr>
        <w:t>fa</w:t>
      </w:r>
      <w:proofErr w:type="gramEnd"/>
      <w:r w:rsidRPr="00C70A1C">
        <w:rPr>
          <w:sz w:val="22"/>
          <w:szCs w:val="22"/>
        </w:rPr>
        <w:t xml:space="preserve"> parte della Missione 5 Inclusione e coesione - Componente: Infrastrutture sociali, famiglie, comunità e terzo settore, di titolarità del ministero delle Infrastrutture e Mobilità sostenibili (MIMS) </w:t>
      </w:r>
    </w:p>
    <w:p w:rsidR="00C70A1C" w:rsidRPr="00C70A1C" w:rsidRDefault="00683913" w:rsidP="00A43655">
      <w:pPr>
        <w:pStyle w:val="Corpotesto"/>
        <w:spacing w:line="360" w:lineRule="auto"/>
        <w:ind w:left="720" w:hanging="720"/>
        <w:jc w:val="both"/>
        <w:rPr>
          <w:sz w:val="22"/>
          <w:szCs w:val="22"/>
        </w:rPr>
      </w:pPr>
      <w:r w:rsidRPr="00C70A1C">
        <w:rPr>
          <w:sz w:val="22"/>
          <w:szCs w:val="22"/>
        </w:rPr>
        <w:t xml:space="preserve">Complessivamente alle città del Sud sono stati destinati 1 miliardo e 130 milioni (40%). Le città capoluogo e le </w:t>
      </w:r>
      <w:proofErr w:type="gramStart"/>
      <w:r w:rsidRPr="00C70A1C">
        <w:rPr>
          <w:sz w:val="22"/>
          <w:szCs w:val="22"/>
        </w:rPr>
        <w:t xml:space="preserve">città </w:t>
      </w:r>
      <w:r w:rsidR="00C70A1C" w:rsidRPr="00C70A1C">
        <w:rPr>
          <w:sz w:val="22"/>
          <w:szCs w:val="22"/>
        </w:rPr>
        <w:t>;</w:t>
      </w:r>
      <w:proofErr w:type="gramEnd"/>
    </w:p>
    <w:p w:rsidR="00683913" w:rsidRPr="00262A5F" w:rsidRDefault="00C70A1C" w:rsidP="00A43655">
      <w:pPr>
        <w:pStyle w:val="Corpotesto"/>
        <w:spacing w:line="360" w:lineRule="auto"/>
        <w:ind w:left="720" w:hanging="720"/>
        <w:jc w:val="both"/>
        <w:rPr>
          <w:b/>
          <w:bCs/>
          <w:i/>
          <w:sz w:val="22"/>
          <w:szCs w:val="22"/>
          <w:u w:val="single"/>
        </w:rPr>
      </w:pPr>
      <w:r w:rsidRPr="00262A5F">
        <w:rPr>
          <w:b/>
          <w:i/>
          <w:sz w:val="22"/>
          <w:szCs w:val="22"/>
          <w:u w:val="single"/>
        </w:rPr>
        <w:t xml:space="preserve">Comune di Trapani: 30.000.000/00 € </w:t>
      </w:r>
      <w:r w:rsidR="00683913" w:rsidRPr="00262A5F">
        <w:rPr>
          <w:b/>
          <w:bCs/>
          <w:i/>
          <w:sz w:val="22"/>
          <w:szCs w:val="22"/>
          <w:u w:val="single"/>
        </w:rPr>
        <w:t xml:space="preserve"> </w:t>
      </w:r>
    </w:p>
    <w:p w:rsidR="00C5366F" w:rsidRPr="00262A5F" w:rsidRDefault="00D77E98" w:rsidP="00A43655">
      <w:pPr>
        <w:pStyle w:val="Corpotesto"/>
        <w:spacing w:line="360" w:lineRule="auto"/>
        <w:ind w:left="720" w:hanging="720"/>
        <w:jc w:val="both"/>
        <w:rPr>
          <w:smallCaps/>
          <w:sz w:val="22"/>
          <w:szCs w:val="22"/>
          <w:u w:val="single"/>
          <w:shd w:val="clear" w:color="auto" w:fill="FFFFFF"/>
        </w:rPr>
      </w:pPr>
      <w:r w:rsidRPr="00D77E98">
        <w:rPr>
          <w:rFonts w:eastAsiaTheme="minorHAnsi"/>
          <w:smallCaps/>
          <w:sz w:val="22"/>
          <w:szCs w:val="22"/>
        </w:rPr>
        <w:t>RIONE CAPPUCCINELLI - LUNGOMARE DANTE ALIGHIERI*LUNGOMARE DANTE ALIG</w:t>
      </w:r>
      <w:r>
        <w:rPr>
          <w:rFonts w:eastAsiaTheme="minorHAnsi"/>
          <w:smallCaps/>
          <w:sz w:val="22"/>
          <w:szCs w:val="22"/>
        </w:rPr>
        <w:t xml:space="preserve">HIERI*INTERVENTO DI </w:t>
      </w:r>
      <w:r w:rsidRPr="00D77E98">
        <w:rPr>
          <w:rFonts w:eastAsiaTheme="minorHAnsi"/>
          <w:smallCaps/>
          <w:sz w:val="22"/>
          <w:szCs w:val="22"/>
        </w:rPr>
        <w:t>RISANAMENTO E RIQUALIFICAZIONE ENERGETICA DI UN COMPLESS</w:t>
      </w:r>
      <w:r>
        <w:rPr>
          <w:rFonts w:eastAsiaTheme="minorHAnsi"/>
          <w:smallCaps/>
          <w:sz w:val="22"/>
          <w:szCs w:val="22"/>
        </w:rPr>
        <w:t xml:space="preserve">O DI EDIFICI RESIDENZIALE ERP E </w:t>
      </w:r>
      <w:r w:rsidRPr="00D77E98">
        <w:rPr>
          <w:rFonts w:eastAsiaTheme="minorHAnsi"/>
          <w:smallCaps/>
          <w:sz w:val="22"/>
          <w:szCs w:val="22"/>
        </w:rPr>
        <w:t>MANUTENZIONE STRAORDINARIA DELLE OPERE DI URBANIZZAZIONE DI SERV</w:t>
      </w:r>
      <w:r>
        <w:rPr>
          <w:rFonts w:eastAsiaTheme="minorHAnsi"/>
          <w:smallCaps/>
          <w:sz w:val="22"/>
          <w:szCs w:val="22"/>
        </w:rPr>
        <w:t xml:space="preserve">IZIO (IMPIANTI SPORTIVI, AREE A </w:t>
      </w:r>
      <w:r w:rsidRPr="00D77E98">
        <w:rPr>
          <w:rFonts w:eastAsiaTheme="minorHAnsi"/>
          <w:smallCaps/>
          <w:sz w:val="22"/>
          <w:szCs w:val="22"/>
        </w:rPr>
        <w:t xml:space="preserve">VERDE, STRADE, MARCIAPIEDI, </w:t>
      </w:r>
      <w:proofErr w:type="gramStart"/>
      <w:r w:rsidRPr="00D77E98">
        <w:rPr>
          <w:rFonts w:eastAsiaTheme="minorHAnsi"/>
          <w:smallCaps/>
          <w:sz w:val="22"/>
          <w:szCs w:val="22"/>
        </w:rPr>
        <w:t>FOGNATURE..</w:t>
      </w:r>
      <w:proofErr w:type="gramEnd"/>
      <w:r w:rsidRPr="00D77E98">
        <w:rPr>
          <w:smallCaps/>
          <w:sz w:val="22"/>
          <w:szCs w:val="22"/>
          <w:shd w:val="clear" w:color="auto" w:fill="FFFFFF"/>
        </w:rPr>
        <w:t xml:space="preserve"> </w:t>
      </w:r>
      <w:r w:rsidR="00C70A1C" w:rsidRPr="00D77E98">
        <w:rPr>
          <w:smallCaps/>
          <w:sz w:val="22"/>
          <w:szCs w:val="22"/>
          <w:shd w:val="clear" w:color="auto" w:fill="FFFFFF"/>
        </w:rPr>
        <w:t>coinvolgimento dello IACP.</w:t>
      </w:r>
      <w:r w:rsidR="008D1CA4">
        <w:rPr>
          <w:smallCaps/>
          <w:sz w:val="22"/>
          <w:szCs w:val="22"/>
          <w:shd w:val="clear" w:color="auto" w:fill="FFFFFF"/>
        </w:rPr>
        <w:t xml:space="preserve"> </w:t>
      </w:r>
      <w:r w:rsidR="008D1CA4" w:rsidRPr="00262A5F">
        <w:rPr>
          <w:b/>
          <w:i/>
          <w:smallCaps/>
          <w:sz w:val="22"/>
          <w:szCs w:val="22"/>
          <w:u w:val="single"/>
          <w:shd w:val="clear" w:color="auto" w:fill="FFFFFF"/>
        </w:rPr>
        <w:t>15.000.000/00 €</w:t>
      </w:r>
    </w:p>
    <w:p w:rsidR="00C5366F" w:rsidRPr="00262A5F" w:rsidRDefault="00C5366F" w:rsidP="00A43655">
      <w:pPr>
        <w:pStyle w:val="Corpotesto"/>
        <w:spacing w:line="360" w:lineRule="auto"/>
        <w:ind w:left="720" w:hanging="720"/>
        <w:jc w:val="both"/>
        <w:rPr>
          <w:i/>
          <w:smallCaps/>
          <w:sz w:val="22"/>
          <w:szCs w:val="22"/>
          <w:u w:val="single"/>
          <w:shd w:val="clear" w:color="auto" w:fill="FFFFFF"/>
        </w:rPr>
      </w:pPr>
      <w:proofErr w:type="spellStart"/>
      <w:r w:rsidRPr="00C5366F">
        <w:rPr>
          <w:rFonts w:eastAsiaTheme="minorHAnsi"/>
          <w:sz w:val="22"/>
          <w:szCs w:val="22"/>
        </w:rPr>
        <w:t>EDiFICI</w:t>
      </w:r>
      <w:proofErr w:type="spellEnd"/>
      <w:r w:rsidRPr="00C5366F">
        <w:rPr>
          <w:rFonts w:eastAsiaTheme="minorHAnsi"/>
          <w:sz w:val="22"/>
          <w:szCs w:val="22"/>
        </w:rPr>
        <w:t xml:space="preserve"> A CORTE - SISTEMAZIONE AREA ATTREZZATA A SERVIZIO DEL CAMPUS MEDITERRANEO - TRASFORMAZIONE EX MATTATOIO IN CAMPUS DEL MEDITERRANEO - RECUPERO GIARDINO D'INVENRNO - INTERVENTO RETROFIT ENERGETICO PER MIGLIORAMENTO DEL CONFORT INDOOR ED OUTDOOR*VIA LUNGOMARE DANTE ALIGHIERI RIONE CAPPUCCINELLI*RECUPERO FUNZIONALE E RIQUALIFICAZIONE OPERE DI URBANIZZAZIONE ESISTENTI</w:t>
      </w:r>
      <w:r w:rsidR="008D1CA4">
        <w:rPr>
          <w:rFonts w:eastAsiaTheme="minorHAnsi"/>
          <w:sz w:val="22"/>
          <w:szCs w:val="22"/>
        </w:rPr>
        <w:t xml:space="preserve">. </w:t>
      </w:r>
      <w:r w:rsidR="008D1CA4" w:rsidRPr="00262A5F">
        <w:rPr>
          <w:rFonts w:eastAsiaTheme="minorHAnsi"/>
          <w:b/>
          <w:i/>
          <w:sz w:val="22"/>
          <w:szCs w:val="22"/>
          <w:u w:val="single"/>
        </w:rPr>
        <w:t>15.000.000/00 €</w:t>
      </w:r>
    </w:p>
    <w:p w:rsidR="00C70A1C" w:rsidRDefault="00C70A1C" w:rsidP="00A43655">
      <w:pPr>
        <w:pStyle w:val="Corpotesto"/>
        <w:spacing w:line="360" w:lineRule="auto"/>
        <w:ind w:left="720" w:hanging="720"/>
        <w:jc w:val="both"/>
        <w:rPr>
          <w:rStyle w:val="Enfasigrassetto"/>
          <w:b w:val="0"/>
          <w:color w:val="000000"/>
          <w:sz w:val="22"/>
          <w:szCs w:val="22"/>
          <w:shd w:val="clear" w:color="auto" w:fill="FFE4CD"/>
        </w:rPr>
      </w:pPr>
      <w:r>
        <w:rPr>
          <w:rStyle w:val="Enfasigrassetto"/>
          <w:b w:val="0"/>
          <w:color w:val="000000"/>
          <w:sz w:val="22"/>
          <w:szCs w:val="22"/>
          <w:shd w:val="clear" w:color="auto" w:fill="FFE4CD"/>
        </w:rPr>
        <w:t xml:space="preserve">Dichiarazione di Scontrino a QDS </w:t>
      </w:r>
    </w:p>
    <w:p w:rsidR="003B7A16" w:rsidRDefault="00C70A1C" w:rsidP="00A43655">
      <w:pPr>
        <w:pStyle w:val="Corpotesto"/>
        <w:spacing w:line="360" w:lineRule="auto"/>
        <w:ind w:left="720" w:hanging="720"/>
        <w:jc w:val="both"/>
        <w:rPr>
          <w:rStyle w:val="Enfasigrassetto"/>
          <w:b w:val="0"/>
          <w:color w:val="000000"/>
          <w:sz w:val="22"/>
          <w:szCs w:val="22"/>
          <w:shd w:val="clear" w:color="auto" w:fill="FFE4CD"/>
        </w:rPr>
      </w:pPr>
      <w:r>
        <w:rPr>
          <w:rStyle w:val="Enfasigrassetto"/>
          <w:b w:val="0"/>
          <w:color w:val="000000"/>
          <w:sz w:val="22"/>
          <w:szCs w:val="22"/>
          <w:shd w:val="clear" w:color="auto" w:fill="FFE4CD"/>
        </w:rPr>
        <w:t xml:space="preserve"> </w:t>
      </w:r>
      <w:proofErr w:type="gramStart"/>
      <w:r>
        <w:rPr>
          <w:rStyle w:val="Enfasigrassetto"/>
          <w:b w:val="0"/>
          <w:color w:val="000000"/>
          <w:sz w:val="22"/>
          <w:szCs w:val="22"/>
          <w:shd w:val="clear" w:color="auto" w:fill="FFE4CD"/>
        </w:rPr>
        <w:t>a</w:t>
      </w:r>
      <w:proofErr w:type="gramEnd"/>
      <w:r>
        <w:rPr>
          <w:rStyle w:val="Enfasigrassetto"/>
          <w:b w:val="0"/>
          <w:color w:val="000000"/>
          <w:sz w:val="22"/>
          <w:szCs w:val="22"/>
          <w:shd w:val="clear" w:color="auto" w:fill="FFE4CD"/>
        </w:rPr>
        <w:t xml:space="preserve"> </w:t>
      </w:r>
      <w:r w:rsidRPr="00C70A1C">
        <w:rPr>
          <w:rStyle w:val="Enfasigrassetto"/>
          <w:b w:val="0"/>
          <w:color w:val="000000"/>
          <w:sz w:val="22"/>
          <w:szCs w:val="22"/>
          <w:shd w:val="clear" w:color="auto" w:fill="FFE4CD"/>
        </w:rPr>
        <w:t xml:space="preserve">Per il triennio 2022/2024 si apre una nuova e differente finestra legata ai fondi del Piano Nazionale di Ripresa e Resilienza, del Piano Nazionale Integrato per l’Energia e il Clima e degli Incentivi per la sicurezza sismica di edifici residenziali; queste ultime due iniziative sono intese come </w:t>
      </w:r>
      <w:proofErr w:type="spellStart"/>
      <w:r w:rsidRPr="00C70A1C">
        <w:rPr>
          <w:rStyle w:val="Enfasigrassetto"/>
          <w:b w:val="0"/>
          <w:color w:val="000000"/>
          <w:sz w:val="22"/>
          <w:szCs w:val="22"/>
          <w:shd w:val="clear" w:color="auto" w:fill="FFE4CD"/>
        </w:rPr>
        <w:t>Superbonus</w:t>
      </w:r>
      <w:proofErr w:type="spellEnd"/>
      <w:r w:rsidRPr="00C70A1C">
        <w:rPr>
          <w:rStyle w:val="Enfasigrassetto"/>
          <w:b w:val="0"/>
          <w:color w:val="000000"/>
          <w:sz w:val="22"/>
          <w:szCs w:val="22"/>
          <w:shd w:val="clear" w:color="auto" w:fill="FFE4CD"/>
        </w:rPr>
        <w:t xml:space="preserve"> e </w:t>
      </w:r>
      <w:proofErr w:type="spellStart"/>
      <w:r w:rsidRPr="00C70A1C">
        <w:rPr>
          <w:rStyle w:val="Enfasigrassetto"/>
          <w:b w:val="0"/>
          <w:color w:val="000000"/>
          <w:sz w:val="22"/>
          <w:szCs w:val="22"/>
          <w:shd w:val="clear" w:color="auto" w:fill="FFE4CD"/>
        </w:rPr>
        <w:t>Sismabonus</w:t>
      </w:r>
      <w:proofErr w:type="spellEnd"/>
      <w:r w:rsidRPr="00C70A1C">
        <w:rPr>
          <w:rStyle w:val="Enfasigrassetto"/>
          <w:b w:val="0"/>
          <w:color w:val="000000"/>
          <w:sz w:val="22"/>
          <w:szCs w:val="22"/>
          <w:shd w:val="clear" w:color="auto" w:fill="FFE4CD"/>
        </w:rPr>
        <w:t xml:space="preserve"> al 110%. L’</w:t>
      </w:r>
      <w:proofErr w:type="spellStart"/>
      <w:r w:rsidRPr="00C70A1C">
        <w:rPr>
          <w:rStyle w:val="Enfasigrassetto"/>
          <w:b w:val="0"/>
          <w:color w:val="000000"/>
          <w:sz w:val="22"/>
          <w:szCs w:val="22"/>
          <w:shd w:val="clear" w:color="auto" w:fill="FFE4CD"/>
        </w:rPr>
        <w:t>Iacp</w:t>
      </w:r>
      <w:proofErr w:type="spellEnd"/>
      <w:r w:rsidRPr="00C70A1C">
        <w:rPr>
          <w:rStyle w:val="Enfasigrassetto"/>
          <w:b w:val="0"/>
          <w:color w:val="000000"/>
          <w:sz w:val="22"/>
          <w:szCs w:val="22"/>
          <w:shd w:val="clear" w:color="auto" w:fill="FFE4CD"/>
        </w:rPr>
        <w:t xml:space="preserve"> sta partecipando al “Programma innovativo della qualità dell’abitare” con il Comune di Trapani e l’ente si è inserito con una specifica iniziativa che riguarda la rigenerazione di edilizia residenziale pubblica esistente all’interno del quartiere di </w:t>
      </w:r>
      <w:proofErr w:type="spellStart"/>
      <w:r w:rsidRPr="00C70A1C">
        <w:rPr>
          <w:rStyle w:val="Enfasigrassetto"/>
          <w:b w:val="0"/>
          <w:color w:val="000000"/>
          <w:sz w:val="22"/>
          <w:szCs w:val="22"/>
          <w:shd w:val="clear" w:color="auto" w:fill="FFE4CD"/>
        </w:rPr>
        <w:t>Cappuccinelli</w:t>
      </w:r>
      <w:proofErr w:type="spellEnd"/>
      <w:r w:rsidRPr="00C70A1C">
        <w:rPr>
          <w:rStyle w:val="Enfasigrassetto"/>
          <w:b w:val="0"/>
          <w:color w:val="000000"/>
          <w:sz w:val="22"/>
          <w:szCs w:val="22"/>
          <w:shd w:val="clear" w:color="auto" w:fill="FFE4CD"/>
        </w:rPr>
        <w:t>.</w:t>
      </w:r>
    </w:p>
    <w:p w:rsidR="00B62570" w:rsidRDefault="00837A86" w:rsidP="00A43655">
      <w:pPr>
        <w:pStyle w:val="Corpotesto"/>
        <w:spacing w:line="360" w:lineRule="auto"/>
        <w:ind w:left="720" w:hanging="720"/>
        <w:jc w:val="both"/>
      </w:pPr>
      <w:r>
        <w:rPr>
          <w:sz w:val="23"/>
          <w:szCs w:val="23"/>
        </w:rPr>
        <w:t xml:space="preserve">  </w:t>
      </w:r>
      <w:r w:rsidR="00637017">
        <w:t xml:space="preserve"> </w:t>
      </w:r>
    </w:p>
    <w:p w:rsidR="00B62570" w:rsidRDefault="00B62570" w:rsidP="00A43655">
      <w:pPr>
        <w:pStyle w:val="Corpotesto"/>
        <w:spacing w:line="360" w:lineRule="auto"/>
        <w:ind w:left="720" w:hanging="720"/>
        <w:jc w:val="both"/>
      </w:pPr>
    </w:p>
    <w:p w:rsidR="00383F76" w:rsidRDefault="005E71D9" w:rsidP="00A43655">
      <w:pPr>
        <w:pStyle w:val="Corpotesto"/>
        <w:spacing w:line="360" w:lineRule="auto"/>
        <w:ind w:left="720" w:hanging="720"/>
        <w:jc w:val="both"/>
        <w:rPr>
          <w:b/>
          <w:bCs/>
          <w:i/>
          <w:iCs/>
          <w:sz w:val="23"/>
          <w:szCs w:val="23"/>
        </w:rPr>
      </w:pPr>
      <w:r>
        <w:rPr>
          <w:b/>
          <w:bCs/>
          <w:i/>
          <w:iCs/>
          <w:sz w:val="23"/>
          <w:szCs w:val="23"/>
        </w:rPr>
        <w:t>Misura 2 Piani Urbani Integrati.</w:t>
      </w:r>
    </w:p>
    <w:p w:rsidR="00B62570" w:rsidRDefault="00B62570" w:rsidP="00A43655">
      <w:pPr>
        <w:pStyle w:val="Corpotesto"/>
        <w:spacing w:line="360" w:lineRule="auto"/>
        <w:ind w:left="720" w:hanging="720"/>
        <w:jc w:val="both"/>
        <w:rPr>
          <w:sz w:val="23"/>
          <w:szCs w:val="23"/>
        </w:rPr>
      </w:pPr>
      <w:r>
        <w:rPr>
          <w:sz w:val="23"/>
          <w:szCs w:val="23"/>
        </w:rPr>
        <w:t>L’investimento sui Piani Urbani Integrati (PUI) fa parte della Missione 5 Inclusione e coesione, Componente 2 Infrastrutture sociali, famiglie, comunità e terzo settore, con un finanziamento di 2,49 miliardi, oltre a 210 milioni stanziati nel Piano Complementare, per un totale di 2,7 miliardi.</w:t>
      </w:r>
    </w:p>
    <w:p w:rsidR="00262A5F" w:rsidRPr="00262A5F" w:rsidRDefault="00262A5F" w:rsidP="00A43655">
      <w:pPr>
        <w:pStyle w:val="Corpotesto"/>
        <w:spacing w:line="360" w:lineRule="auto"/>
        <w:ind w:left="720" w:hanging="720"/>
        <w:jc w:val="both"/>
        <w:rPr>
          <w:b/>
          <w:i/>
          <w:sz w:val="23"/>
          <w:szCs w:val="23"/>
          <w:u w:val="single"/>
        </w:rPr>
      </w:pPr>
      <w:r w:rsidRPr="00262A5F">
        <w:rPr>
          <w:b/>
          <w:i/>
          <w:sz w:val="23"/>
          <w:szCs w:val="23"/>
          <w:u w:val="single"/>
        </w:rPr>
        <w:t>Comune di Trapani 0 €</w:t>
      </w:r>
    </w:p>
    <w:p w:rsidR="00A43655" w:rsidRDefault="00A43655" w:rsidP="00A43655">
      <w:pPr>
        <w:pStyle w:val="Corpotesto"/>
        <w:spacing w:line="360" w:lineRule="auto"/>
        <w:ind w:left="720" w:hanging="720"/>
        <w:jc w:val="both"/>
        <w:rPr>
          <w:b/>
          <w:bCs/>
          <w:i/>
          <w:iCs/>
          <w:sz w:val="23"/>
          <w:szCs w:val="23"/>
        </w:rPr>
      </w:pPr>
    </w:p>
    <w:p w:rsidR="00262A5F" w:rsidRDefault="00262A5F" w:rsidP="00A43655">
      <w:pPr>
        <w:pStyle w:val="Corpotesto"/>
        <w:spacing w:line="360" w:lineRule="auto"/>
        <w:ind w:left="720" w:hanging="720"/>
        <w:jc w:val="both"/>
        <w:rPr>
          <w:sz w:val="23"/>
          <w:szCs w:val="23"/>
        </w:rPr>
      </w:pPr>
      <w:r>
        <w:rPr>
          <w:b/>
          <w:bCs/>
          <w:i/>
          <w:iCs/>
          <w:sz w:val="23"/>
          <w:szCs w:val="23"/>
        </w:rPr>
        <w:lastRenderedPageBreak/>
        <w:t xml:space="preserve">Misura 3 e 3bis Rigenerazione urbana. </w:t>
      </w:r>
      <w:r>
        <w:rPr>
          <w:sz w:val="23"/>
          <w:szCs w:val="23"/>
        </w:rPr>
        <w:t>Gli investimenti in progetti di rigenerazione urbana fanno parte della Missione 5 “Inclusione e Coesione” componente 2 “Infrastrutture sociali, famiglie, comunità e terzo settore” del PNRR.</w:t>
      </w:r>
    </w:p>
    <w:p w:rsidR="00B62570" w:rsidRDefault="00262A5F" w:rsidP="00A43655">
      <w:pPr>
        <w:pStyle w:val="Corpotesto"/>
        <w:spacing w:line="360" w:lineRule="auto"/>
        <w:ind w:left="720" w:hanging="720"/>
        <w:jc w:val="both"/>
        <w:rPr>
          <w:sz w:val="23"/>
          <w:szCs w:val="23"/>
        </w:rPr>
      </w:pPr>
      <w:proofErr w:type="gramStart"/>
      <w:r>
        <w:rPr>
          <w:sz w:val="23"/>
          <w:szCs w:val="23"/>
        </w:rPr>
        <w:t>contributi</w:t>
      </w:r>
      <w:proofErr w:type="gramEnd"/>
      <w:r>
        <w:rPr>
          <w:sz w:val="23"/>
          <w:szCs w:val="23"/>
        </w:rPr>
        <w:t xml:space="preserve"> per progetti di rigenerazione urbana sono destinati a comuni con popolazione superiore ai 15.000 abitanti e mirano a ridurre le situazioni di emarginazione e degrado sociale nonché a migliorare la qualità del decoro urbano oltre che del contesto sociale e ambientale. Il costo totale dell’investimento è di 3,4 miliardi;</w:t>
      </w:r>
    </w:p>
    <w:p w:rsidR="00262A5F" w:rsidRDefault="00262A5F" w:rsidP="00A43655">
      <w:pPr>
        <w:pStyle w:val="Corpotesto"/>
        <w:spacing w:line="360" w:lineRule="auto"/>
        <w:ind w:left="720" w:hanging="720"/>
        <w:jc w:val="both"/>
        <w:rPr>
          <w:sz w:val="23"/>
          <w:szCs w:val="23"/>
        </w:rPr>
      </w:pPr>
      <w:r>
        <w:rPr>
          <w:sz w:val="23"/>
          <w:szCs w:val="23"/>
        </w:rPr>
        <w:t xml:space="preserve">Gli interventi ammessi ai contributi sono: (a) manutenzione per il riutilizzo e la </w:t>
      </w:r>
      <w:proofErr w:type="spellStart"/>
      <w:r>
        <w:rPr>
          <w:sz w:val="23"/>
          <w:szCs w:val="23"/>
        </w:rPr>
        <w:t>rifunzionalizzazione</w:t>
      </w:r>
      <w:proofErr w:type="spellEnd"/>
      <w:r>
        <w:rPr>
          <w:sz w:val="23"/>
          <w:szCs w:val="23"/>
        </w:rPr>
        <w:t xml:space="preserve"> di aree pubbliche e strutture edilizie pubbliche esistenti a fini di pubblico interesse, compresa la demolizione di opere abusive; (b) miglioramento della qualità del decoro urbano e del tessuto socio-ambientale, anche attraverso la ristrutturazione edilizia di edifici pubblici, con particolare riferimento allo sviluppo di servizi sociali e culturali, educativi e didattici; (c) interventi per la mobilità verde, sostenibile e intelligente. I fondi sono allocati a bando fra le amministrazioni comunali.</w:t>
      </w:r>
    </w:p>
    <w:p w:rsidR="00262A5F" w:rsidRDefault="00262A5F" w:rsidP="00A43655">
      <w:pPr>
        <w:pStyle w:val="Corpotesto"/>
        <w:spacing w:line="360" w:lineRule="auto"/>
        <w:ind w:left="720" w:hanging="720"/>
        <w:jc w:val="both"/>
      </w:pPr>
      <w:r>
        <w:t>Sicilia (417 milioni)</w:t>
      </w:r>
    </w:p>
    <w:p w:rsidR="00262A5F" w:rsidRPr="00262A5F" w:rsidRDefault="00262A5F" w:rsidP="00A43655">
      <w:pPr>
        <w:pStyle w:val="Corpotesto"/>
        <w:spacing w:line="360" w:lineRule="auto"/>
        <w:ind w:left="720" w:hanging="720"/>
        <w:jc w:val="both"/>
        <w:rPr>
          <w:b/>
          <w:i/>
          <w:sz w:val="23"/>
          <w:szCs w:val="23"/>
          <w:u w:val="single"/>
        </w:rPr>
      </w:pPr>
      <w:r w:rsidRPr="00262A5F">
        <w:rPr>
          <w:b/>
          <w:i/>
          <w:sz w:val="23"/>
          <w:szCs w:val="23"/>
          <w:u w:val="single"/>
        </w:rPr>
        <w:t>Comune di Trapani 0 €</w:t>
      </w:r>
    </w:p>
    <w:p w:rsidR="00A43655" w:rsidRDefault="00A43655" w:rsidP="00A43655">
      <w:pPr>
        <w:pStyle w:val="Corpotesto"/>
        <w:spacing w:line="360" w:lineRule="auto"/>
        <w:ind w:left="720" w:hanging="720"/>
        <w:jc w:val="both"/>
        <w:rPr>
          <w:b/>
          <w:bCs/>
          <w:i/>
          <w:iCs/>
          <w:sz w:val="23"/>
          <w:szCs w:val="23"/>
        </w:rPr>
      </w:pPr>
    </w:p>
    <w:p w:rsidR="00262A5F" w:rsidRDefault="00895351" w:rsidP="00A43655">
      <w:pPr>
        <w:pStyle w:val="Corpotesto"/>
        <w:spacing w:line="360" w:lineRule="auto"/>
        <w:ind w:left="720" w:hanging="720"/>
        <w:jc w:val="both"/>
      </w:pPr>
      <w:r>
        <w:rPr>
          <w:b/>
          <w:bCs/>
          <w:i/>
          <w:iCs/>
          <w:sz w:val="23"/>
          <w:szCs w:val="23"/>
        </w:rPr>
        <w:t>Misura 4 Grandi attrattori culturali.</w:t>
      </w:r>
    </w:p>
    <w:p w:rsidR="00262A5F" w:rsidRDefault="00895351" w:rsidP="00A43655">
      <w:pPr>
        <w:pStyle w:val="Corpotesto"/>
        <w:spacing w:line="360" w:lineRule="auto"/>
        <w:ind w:left="720" w:hanging="720"/>
        <w:jc w:val="both"/>
        <w:rPr>
          <w:sz w:val="23"/>
          <w:szCs w:val="23"/>
        </w:rPr>
      </w:pPr>
      <w:proofErr w:type="gramStart"/>
      <w:r>
        <w:rPr>
          <w:sz w:val="23"/>
          <w:szCs w:val="23"/>
        </w:rPr>
        <w:t>si</w:t>
      </w:r>
      <w:proofErr w:type="gramEnd"/>
      <w:r>
        <w:rPr>
          <w:sz w:val="23"/>
          <w:szCs w:val="23"/>
        </w:rPr>
        <w:t xml:space="preserve"> tratta di quattordici interventi di recupero di siti culturali e complessi storici, in gran parte inseriti in contesti urbani. Per questo investimento non c’è stata alcuna selezione pubblica, in quanto gli interventi sono stati inseriti nominativamente dal ministero della Cultura, in concerto col ministero dell’Economia e delle Finanze, nel FC</w:t>
      </w:r>
      <w:r>
        <w:rPr>
          <w:sz w:val="16"/>
          <w:szCs w:val="16"/>
        </w:rPr>
        <w:t>18</w:t>
      </w:r>
      <w:r>
        <w:rPr>
          <w:sz w:val="23"/>
          <w:szCs w:val="23"/>
        </w:rPr>
        <w:t>.</w:t>
      </w:r>
    </w:p>
    <w:p w:rsidR="003D644E" w:rsidRPr="003D644E" w:rsidRDefault="003D644E" w:rsidP="00A43655">
      <w:pPr>
        <w:pStyle w:val="Corpotesto"/>
        <w:spacing w:line="360" w:lineRule="auto"/>
        <w:ind w:left="720" w:hanging="720"/>
        <w:jc w:val="both"/>
        <w:rPr>
          <w:sz w:val="22"/>
          <w:szCs w:val="22"/>
        </w:rPr>
      </w:pPr>
      <w:r w:rsidRPr="003D644E">
        <w:rPr>
          <w:sz w:val="22"/>
          <w:szCs w:val="22"/>
        </w:rPr>
        <w:t>PROGETTO INTEGRATO DI RESTAURO, FRUIZIONE E VALORIZZAZIONE DELL'IMMOBILE COSTIERO COLOMBAIA CASTELLO DI MARE TORRE PELIADE*ISOLA DELLA COLOMBAIA*INTERVENTO DI RESTAURO E RIFUNZIONALIZZAZIONE DELL'IMMOBILE</w:t>
      </w:r>
    </w:p>
    <w:p w:rsidR="00895351" w:rsidRDefault="00895351" w:rsidP="00A43655">
      <w:pPr>
        <w:pStyle w:val="Corpotesto"/>
        <w:spacing w:line="360" w:lineRule="auto"/>
        <w:ind w:left="720" w:hanging="720"/>
        <w:jc w:val="both"/>
        <w:rPr>
          <w:b/>
          <w:i/>
          <w:sz w:val="23"/>
          <w:szCs w:val="23"/>
          <w:u w:val="single"/>
        </w:rPr>
      </w:pPr>
      <w:proofErr w:type="gramStart"/>
      <w:r>
        <w:rPr>
          <w:sz w:val="23"/>
          <w:szCs w:val="23"/>
        </w:rPr>
        <w:t>il</w:t>
      </w:r>
      <w:proofErr w:type="gramEnd"/>
      <w:r>
        <w:rPr>
          <w:sz w:val="23"/>
          <w:szCs w:val="23"/>
        </w:rPr>
        <w:t xml:space="preserve"> recupero della fortezza portuale di Trapani </w:t>
      </w:r>
      <w:r w:rsidRPr="00895351">
        <w:rPr>
          <w:b/>
          <w:i/>
          <w:sz w:val="23"/>
          <w:szCs w:val="23"/>
          <w:u w:val="single"/>
        </w:rPr>
        <w:t>27.000.000/00 €</w:t>
      </w:r>
    </w:p>
    <w:p w:rsidR="005B583B" w:rsidRDefault="005B583B" w:rsidP="00A43655">
      <w:pPr>
        <w:pStyle w:val="Corpotesto"/>
        <w:spacing w:line="360" w:lineRule="auto"/>
        <w:ind w:left="720" w:hanging="720"/>
        <w:jc w:val="both"/>
        <w:rPr>
          <w:b/>
          <w:bCs/>
          <w:sz w:val="23"/>
          <w:szCs w:val="23"/>
        </w:rPr>
      </w:pPr>
      <w:r>
        <w:rPr>
          <w:b/>
          <w:bCs/>
          <w:i/>
          <w:iCs/>
          <w:sz w:val="23"/>
          <w:szCs w:val="23"/>
        </w:rPr>
        <w:t>Misura 5 Trasporto rapido di massa</w:t>
      </w:r>
      <w:r>
        <w:rPr>
          <w:b/>
          <w:bCs/>
          <w:sz w:val="23"/>
          <w:szCs w:val="23"/>
        </w:rPr>
        <w:t>.</w:t>
      </w:r>
    </w:p>
    <w:p w:rsidR="005B583B" w:rsidRDefault="005B583B" w:rsidP="00A43655">
      <w:pPr>
        <w:pStyle w:val="Corpotesto"/>
        <w:spacing w:line="360" w:lineRule="auto"/>
        <w:ind w:left="720" w:hanging="720"/>
        <w:jc w:val="both"/>
        <w:rPr>
          <w:sz w:val="16"/>
          <w:szCs w:val="16"/>
        </w:rPr>
      </w:pPr>
      <w:r>
        <w:rPr>
          <w:sz w:val="23"/>
          <w:szCs w:val="23"/>
        </w:rPr>
        <w:t>La misura per il Trasporto Rapido di Massa (TRM) fa parte della missione 2 Rivoluzione verde e transizione ecologica – componente 2 Energia rinnovabile, idrogeno, rete e mobilità sostenibile, di pertinenza del ministero delle infrastrutture e della mobilità sostenibile (MIMS). Il finanziamento totale del TRM è pari a 3,6 miliardi rivenienti dal PNRR</w:t>
      </w:r>
      <w:r>
        <w:rPr>
          <w:sz w:val="16"/>
          <w:szCs w:val="16"/>
        </w:rPr>
        <w:t>19.</w:t>
      </w:r>
    </w:p>
    <w:p w:rsidR="005B583B" w:rsidRDefault="005B583B" w:rsidP="00A43655">
      <w:pPr>
        <w:pStyle w:val="Corpotesto"/>
        <w:spacing w:line="360" w:lineRule="auto"/>
        <w:ind w:left="720" w:hanging="720"/>
        <w:jc w:val="both"/>
        <w:rPr>
          <w:sz w:val="23"/>
          <w:szCs w:val="23"/>
        </w:rPr>
      </w:pPr>
      <w:r>
        <w:rPr>
          <w:sz w:val="23"/>
          <w:szCs w:val="23"/>
        </w:rPr>
        <w:t>L’obiettivo dell’investimento è quello di costruire reti di trasporti pubblici più ampie, veloci ed efficienti nelle principali aree metropolitane, al fine di ridurre il traffico delle auto private di almeno il 10% a favore del trasporto pubblico.</w:t>
      </w:r>
    </w:p>
    <w:p w:rsidR="0055441B" w:rsidRDefault="0055441B" w:rsidP="00A43655">
      <w:pPr>
        <w:pStyle w:val="Corpotesto"/>
        <w:spacing w:line="360" w:lineRule="auto"/>
        <w:ind w:left="720" w:hanging="720"/>
        <w:jc w:val="both"/>
      </w:pPr>
      <w:proofErr w:type="spellStart"/>
      <w:r>
        <w:t>Intermodalità</w:t>
      </w:r>
      <w:proofErr w:type="spellEnd"/>
      <w:r>
        <w:t xml:space="preserve"> e accessibilità Trapani Birgi </w:t>
      </w:r>
      <w:r w:rsidRPr="0055441B">
        <w:rPr>
          <w:b/>
          <w:i/>
          <w:u w:val="single"/>
        </w:rPr>
        <w:t>40.000.000/00 € RFI</w:t>
      </w:r>
    </w:p>
    <w:p w:rsidR="0055441B" w:rsidRDefault="0055441B" w:rsidP="00A43655">
      <w:pPr>
        <w:pStyle w:val="Corpotesto"/>
        <w:spacing w:line="360" w:lineRule="auto"/>
        <w:ind w:left="720" w:hanging="720"/>
        <w:jc w:val="both"/>
      </w:pPr>
      <w:r>
        <w:lastRenderedPageBreak/>
        <w:t xml:space="preserve">Ripristino linea Palermo-Trapani via Milo (legislazione vigente) </w:t>
      </w:r>
      <w:r w:rsidRPr="0055441B">
        <w:rPr>
          <w:b/>
          <w:i/>
          <w:u w:val="single"/>
        </w:rPr>
        <w:t>5.200.000/00 €</w:t>
      </w:r>
      <w:r>
        <w:rPr>
          <w:b/>
          <w:i/>
          <w:u w:val="single"/>
        </w:rPr>
        <w:t xml:space="preserve"> RFI</w:t>
      </w:r>
    </w:p>
    <w:p w:rsidR="0055441B" w:rsidRDefault="0055441B" w:rsidP="00A43655">
      <w:pPr>
        <w:pStyle w:val="Corpotesto"/>
        <w:spacing w:line="360" w:lineRule="auto"/>
        <w:ind w:left="720" w:hanging="720"/>
        <w:jc w:val="both"/>
        <w:rPr>
          <w:b/>
          <w:i/>
          <w:u w:val="single"/>
        </w:rPr>
      </w:pPr>
      <w:r>
        <w:t xml:space="preserve">Elettrificazione Palermo - Trapani via Milo </w:t>
      </w:r>
      <w:r w:rsidRPr="0055441B">
        <w:rPr>
          <w:b/>
          <w:i/>
          <w:u w:val="single"/>
        </w:rPr>
        <w:t>64.000.000/00 € RFI</w:t>
      </w:r>
    </w:p>
    <w:p w:rsidR="00DF576B" w:rsidRDefault="00DF576B" w:rsidP="00A43655">
      <w:pPr>
        <w:pStyle w:val="Corpotesto"/>
        <w:spacing w:line="360" w:lineRule="auto"/>
        <w:ind w:left="720" w:hanging="720"/>
        <w:jc w:val="both"/>
        <w:rPr>
          <w:b/>
          <w:i/>
          <w:u w:val="single"/>
        </w:rPr>
      </w:pPr>
      <w:r>
        <w:t xml:space="preserve">PORTO DI TRAPANI: SVILUPPO DELL'ACCESSIBILITA' MARITTIMA E DELLA RESILIENZA DELLE INFRASTRUTTURE PORTUALI AI CAMBIAMENTI CLIMATICI - Lavori di dragaggio dell'avamporto e delle aree a ponente dello sporgente Ronciglio </w:t>
      </w:r>
      <w:r w:rsidR="00CE7AB1" w:rsidRPr="00A176DC">
        <w:rPr>
          <w:b/>
          <w:i/>
          <w:u w:val="single"/>
        </w:rPr>
        <w:t>67.000.000/00 € Autorità Portuale di Sistema della Sicilia Occidentale.</w:t>
      </w:r>
    </w:p>
    <w:p w:rsidR="00A34E05" w:rsidRDefault="00A34E05" w:rsidP="00A43655">
      <w:pPr>
        <w:pStyle w:val="Corpotesto"/>
        <w:spacing w:line="360" w:lineRule="auto"/>
        <w:ind w:left="720" w:hanging="720"/>
        <w:jc w:val="both"/>
        <w:rPr>
          <w:b/>
          <w:i/>
          <w:u w:val="single"/>
        </w:rPr>
      </w:pPr>
      <w:r>
        <w:t xml:space="preserve">Trapani - Intervento Green </w:t>
      </w:r>
      <w:proofErr w:type="spellStart"/>
      <w:r>
        <w:t>port</w:t>
      </w:r>
      <w:proofErr w:type="spellEnd"/>
      <w:r>
        <w:t xml:space="preserve"> </w:t>
      </w:r>
      <w:r w:rsidRPr="00A34E05">
        <w:rPr>
          <w:b/>
          <w:i/>
          <w:u w:val="single"/>
        </w:rPr>
        <w:t>6.0000.000/00 € Autorità Portuale di Sistema della Sicilia Occidentale.</w:t>
      </w:r>
    </w:p>
    <w:p w:rsidR="00DF3AEA" w:rsidRDefault="00DF3AEA" w:rsidP="00A43655">
      <w:pPr>
        <w:pStyle w:val="Corpotesto"/>
        <w:spacing w:line="360" w:lineRule="auto"/>
        <w:ind w:left="720" w:hanging="720"/>
        <w:jc w:val="both"/>
      </w:pPr>
      <w:r>
        <w:t>ZES - ZONE ECONOMICHE SPECIALI</w:t>
      </w:r>
    </w:p>
    <w:p w:rsidR="00DF3AEA" w:rsidRDefault="00DF3AEA" w:rsidP="00A43655">
      <w:pPr>
        <w:pStyle w:val="Corpotesto"/>
        <w:spacing w:line="360" w:lineRule="auto"/>
        <w:ind w:left="720" w:hanging="720"/>
        <w:jc w:val="both"/>
        <w:rPr>
          <w:b/>
          <w:i/>
          <w:u w:val="single"/>
        </w:rPr>
      </w:pPr>
      <w:r>
        <w:t xml:space="preserve">ACCESSIBILITA' AL PORTO E AREA INDUSTRIALE DI TRAPANI: Potenziamento dei collegamenti tra il porto e area industriale </w:t>
      </w:r>
      <w:r w:rsidRPr="00DF3AEA">
        <w:rPr>
          <w:b/>
          <w:i/>
          <w:u w:val="single"/>
        </w:rPr>
        <w:t>17.800.000/00 € Regione Sicilia Assessorato alle Attività Produttive:</w:t>
      </w:r>
    </w:p>
    <w:p w:rsidR="003C6524" w:rsidRDefault="003C6524" w:rsidP="00A43655">
      <w:pPr>
        <w:pStyle w:val="Corpotesto"/>
        <w:spacing w:line="360" w:lineRule="auto"/>
        <w:ind w:left="720" w:hanging="720"/>
        <w:jc w:val="both"/>
        <w:rPr>
          <w:sz w:val="23"/>
          <w:szCs w:val="23"/>
        </w:rPr>
      </w:pPr>
    </w:p>
    <w:p w:rsidR="003C6524" w:rsidRDefault="003C6524" w:rsidP="00D313B4">
      <w:pPr>
        <w:pStyle w:val="Corpotesto"/>
        <w:spacing w:line="360" w:lineRule="auto"/>
        <w:jc w:val="both"/>
        <w:rPr>
          <w:b/>
          <w:bCs/>
          <w:i/>
          <w:iCs/>
          <w:sz w:val="23"/>
          <w:szCs w:val="23"/>
        </w:rPr>
      </w:pPr>
      <w:r>
        <w:rPr>
          <w:b/>
          <w:bCs/>
          <w:i/>
          <w:iCs/>
          <w:sz w:val="23"/>
          <w:szCs w:val="23"/>
        </w:rPr>
        <w:t>Misura 6 Rinnovo flotte bus.</w:t>
      </w:r>
    </w:p>
    <w:p w:rsidR="003C6524" w:rsidRPr="00D313B4" w:rsidRDefault="003C6524" w:rsidP="00D313B4">
      <w:pPr>
        <w:pStyle w:val="Corpotesto"/>
        <w:spacing w:line="360" w:lineRule="auto"/>
        <w:ind w:left="720" w:hanging="720"/>
        <w:jc w:val="both"/>
        <w:rPr>
          <w:sz w:val="23"/>
          <w:szCs w:val="23"/>
        </w:rPr>
      </w:pPr>
      <w:r>
        <w:rPr>
          <w:sz w:val="23"/>
          <w:szCs w:val="23"/>
        </w:rPr>
        <w:t>L’obiettivo dell’investimento è di accelerare l’attuazione del Piano Strategico Nazionale per la Mobilità Sostenibile, acquistando autobus a basse emissioni,</w:t>
      </w:r>
      <w:r w:rsidR="00D313B4">
        <w:rPr>
          <w:sz w:val="23"/>
          <w:szCs w:val="23"/>
        </w:rPr>
        <w:t xml:space="preserve"> </w:t>
      </w:r>
      <w:r w:rsidRPr="00262A5F">
        <w:rPr>
          <w:b/>
          <w:i/>
          <w:sz w:val="23"/>
          <w:szCs w:val="23"/>
          <w:u w:val="single"/>
        </w:rPr>
        <w:t>Comune di Trapani 0 €</w:t>
      </w:r>
    </w:p>
    <w:p w:rsidR="003C6524" w:rsidRDefault="003C6524" w:rsidP="00A43655">
      <w:pPr>
        <w:pStyle w:val="Corpotesto"/>
        <w:spacing w:line="360" w:lineRule="auto"/>
        <w:ind w:left="720" w:hanging="720"/>
        <w:jc w:val="both"/>
        <w:rPr>
          <w:i/>
          <w:iCs/>
          <w:color w:val="1C1F23"/>
          <w:sz w:val="23"/>
          <w:szCs w:val="23"/>
        </w:rPr>
      </w:pPr>
      <w:r>
        <w:rPr>
          <w:b/>
          <w:bCs/>
          <w:i/>
          <w:iCs/>
          <w:color w:val="1C1F23"/>
          <w:sz w:val="23"/>
          <w:szCs w:val="23"/>
        </w:rPr>
        <w:t>Misura 7 Porti</w:t>
      </w:r>
      <w:r>
        <w:rPr>
          <w:i/>
          <w:iCs/>
          <w:color w:val="1C1F23"/>
          <w:sz w:val="23"/>
          <w:szCs w:val="23"/>
        </w:rPr>
        <w:t>.</w:t>
      </w:r>
    </w:p>
    <w:p w:rsidR="003C6524" w:rsidRDefault="003C6524" w:rsidP="00A43655">
      <w:pPr>
        <w:pStyle w:val="Corpotesto"/>
        <w:spacing w:line="360" w:lineRule="auto"/>
        <w:ind w:left="720" w:hanging="720"/>
        <w:jc w:val="both"/>
        <w:rPr>
          <w:sz w:val="23"/>
          <w:szCs w:val="23"/>
        </w:rPr>
      </w:pPr>
      <w:r>
        <w:rPr>
          <w:color w:val="1C1F23"/>
          <w:sz w:val="23"/>
          <w:szCs w:val="23"/>
        </w:rPr>
        <w:t xml:space="preserve">All’interno della </w:t>
      </w:r>
      <w:r>
        <w:rPr>
          <w:sz w:val="23"/>
          <w:szCs w:val="23"/>
        </w:rPr>
        <w:t xml:space="preserve">Componente 2 </w:t>
      </w:r>
      <w:proofErr w:type="spellStart"/>
      <w:r>
        <w:rPr>
          <w:sz w:val="23"/>
          <w:szCs w:val="23"/>
        </w:rPr>
        <w:t>Intermodalità</w:t>
      </w:r>
      <w:proofErr w:type="spellEnd"/>
      <w:r>
        <w:rPr>
          <w:sz w:val="23"/>
          <w:szCs w:val="23"/>
        </w:rPr>
        <w:t xml:space="preserve"> e logistica integrata della Missione 3, troviamo gli interventi portuali selezionati dal MIMS</w:t>
      </w:r>
    </w:p>
    <w:p w:rsidR="00D20D96" w:rsidRDefault="00D20D96" w:rsidP="00A43655">
      <w:pPr>
        <w:pStyle w:val="Corpotesto"/>
        <w:spacing w:line="360" w:lineRule="auto"/>
        <w:ind w:left="720" w:hanging="720"/>
        <w:jc w:val="both"/>
        <w:rPr>
          <w:b/>
          <w:i/>
          <w:u w:val="single"/>
        </w:rPr>
      </w:pPr>
      <w:r>
        <w:rPr>
          <w:sz w:val="23"/>
          <w:szCs w:val="23"/>
        </w:rPr>
        <w:t xml:space="preserve"> Trapani </w:t>
      </w:r>
      <w:r w:rsidRPr="00D20D96">
        <w:rPr>
          <w:b/>
          <w:i/>
          <w:sz w:val="23"/>
          <w:szCs w:val="23"/>
          <w:u w:val="single"/>
        </w:rPr>
        <w:t>73.000.000/00 €</w:t>
      </w:r>
      <w:r>
        <w:rPr>
          <w:sz w:val="23"/>
          <w:szCs w:val="23"/>
        </w:rPr>
        <w:t xml:space="preserve"> </w:t>
      </w:r>
      <w:r w:rsidRPr="00A34E05">
        <w:rPr>
          <w:b/>
          <w:i/>
          <w:u w:val="single"/>
        </w:rPr>
        <w:t>Autorità Portuale di Sistema della Sicilia Occidentale.</w:t>
      </w:r>
    </w:p>
    <w:p w:rsidR="00D20D96" w:rsidRDefault="00D20D96" w:rsidP="00A43655">
      <w:pPr>
        <w:pStyle w:val="Corpotesto"/>
        <w:spacing w:line="360" w:lineRule="auto"/>
        <w:ind w:left="720" w:hanging="720"/>
        <w:jc w:val="both"/>
        <w:rPr>
          <w:i/>
          <w:iCs/>
          <w:sz w:val="23"/>
          <w:szCs w:val="23"/>
        </w:rPr>
      </w:pPr>
      <w:r>
        <w:rPr>
          <w:b/>
          <w:bCs/>
          <w:i/>
          <w:iCs/>
          <w:sz w:val="23"/>
          <w:szCs w:val="23"/>
        </w:rPr>
        <w:t>Misura 8 Porti nelle ZES</w:t>
      </w:r>
      <w:r>
        <w:rPr>
          <w:i/>
          <w:iCs/>
          <w:sz w:val="23"/>
          <w:szCs w:val="23"/>
        </w:rPr>
        <w:t>.</w:t>
      </w:r>
    </w:p>
    <w:p w:rsidR="00D20D96" w:rsidRDefault="00D20D96" w:rsidP="00A43655">
      <w:pPr>
        <w:pStyle w:val="Corpotesto"/>
        <w:spacing w:line="360" w:lineRule="auto"/>
        <w:ind w:left="720" w:hanging="720"/>
        <w:jc w:val="both"/>
        <w:rPr>
          <w:color w:val="1C1F23"/>
          <w:sz w:val="23"/>
          <w:szCs w:val="23"/>
        </w:rPr>
      </w:pPr>
      <w:r>
        <w:rPr>
          <w:sz w:val="23"/>
          <w:szCs w:val="23"/>
        </w:rPr>
        <w:t xml:space="preserve">Vengono anche considerati in questo lavoro gli interventi sui porti urbani finanziati nell’ambito delle Zone Economiche Speciali (ZES) del Mezzogiorno. </w:t>
      </w:r>
      <w:r>
        <w:rPr>
          <w:color w:val="1C1F23"/>
          <w:sz w:val="23"/>
          <w:szCs w:val="23"/>
        </w:rPr>
        <w:t xml:space="preserve">Le ZES sono aree destinatarie di specifiche agevolazioni fiscali e semplificazioni burocratiche, da realizzarsi intorno ad </w:t>
      </w:r>
      <w:r>
        <w:rPr>
          <w:sz w:val="23"/>
          <w:szCs w:val="23"/>
        </w:rPr>
        <w:t xml:space="preserve">aree portuali che presentino le caratteristiche di porti di rilevanza strategica. </w:t>
      </w:r>
      <w:r>
        <w:rPr>
          <w:color w:val="1C1F23"/>
          <w:sz w:val="23"/>
          <w:szCs w:val="23"/>
        </w:rPr>
        <w:t>Il PNRR all’interno della Missione 5 Inclusione e coesione, Componente 3 Interventi speciali per la coesione territoriale, destina 630 milioni</w:t>
      </w:r>
      <w:r>
        <w:rPr>
          <w:color w:val="1C1F23"/>
          <w:sz w:val="16"/>
          <w:szCs w:val="16"/>
        </w:rPr>
        <w:t xml:space="preserve">30 </w:t>
      </w:r>
      <w:r>
        <w:rPr>
          <w:color w:val="1C1F23"/>
          <w:sz w:val="23"/>
          <w:szCs w:val="23"/>
        </w:rPr>
        <w:t>per investimenti infrastrutturali volti ad assicurare un adeguato sviluppo dei collegamenti delle aree ZES con la rete nazionale dei trasporti, in particolare con le reti Trans Europee (TEN-T).</w:t>
      </w:r>
    </w:p>
    <w:p w:rsidR="00D20D96" w:rsidRDefault="00D20D96" w:rsidP="00A43655">
      <w:pPr>
        <w:pStyle w:val="Corpotesto"/>
        <w:spacing w:line="360" w:lineRule="auto"/>
        <w:ind w:left="720" w:hanging="720"/>
        <w:jc w:val="both"/>
        <w:rPr>
          <w:color w:val="1C1F23"/>
          <w:sz w:val="23"/>
          <w:szCs w:val="23"/>
        </w:rPr>
      </w:pPr>
      <w:r>
        <w:rPr>
          <w:color w:val="1C1F23"/>
          <w:sz w:val="23"/>
          <w:szCs w:val="23"/>
        </w:rPr>
        <w:t>Di essi, 261 milioni sono destinati (da un decreto congiunto MIMS – ministero per il Sud) ad interventi sui porti delle città capoluogo o delle città metropolitane.</w:t>
      </w:r>
    </w:p>
    <w:p w:rsidR="00D20D96" w:rsidRDefault="00D20D96" w:rsidP="00A43655">
      <w:pPr>
        <w:pStyle w:val="Corpotesto"/>
        <w:spacing w:line="360" w:lineRule="auto"/>
        <w:ind w:left="720" w:hanging="720"/>
        <w:jc w:val="both"/>
        <w:rPr>
          <w:b/>
          <w:i/>
          <w:u w:val="single"/>
        </w:rPr>
      </w:pPr>
      <w:r>
        <w:t xml:space="preserve">Trapani </w:t>
      </w:r>
      <w:r w:rsidRPr="00D20D96">
        <w:rPr>
          <w:b/>
          <w:i/>
          <w:u w:val="single"/>
        </w:rPr>
        <w:t>17.800.000/00 € Regione Sicilia Assessorato alle Attività Produttive</w:t>
      </w:r>
      <w:r w:rsidRPr="00DF3AEA">
        <w:rPr>
          <w:b/>
          <w:i/>
          <w:u w:val="single"/>
        </w:rPr>
        <w:t>:</w:t>
      </w:r>
    </w:p>
    <w:p w:rsidR="00D20D96" w:rsidRDefault="009B5AC1" w:rsidP="00A43655">
      <w:pPr>
        <w:pStyle w:val="Corpotesto"/>
        <w:spacing w:line="360" w:lineRule="auto"/>
        <w:ind w:left="720" w:hanging="720"/>
        <w:jc w:val="both"/>
        <w:rPr>
          <w:b/>
          <w:bCs/>
          <w:i/>
          <w:iCs/>
          <w:sz w:val="23"/>
          <w:szCs w:val="23"/>
        </w:rPr>
      </w:pPr>
      <w:r>
        <w:rPr>
          <w:b/>
          <w:bCs/>
          <w:i/>
          <w:iCs/>
          <w:sz w:val="23"/>
          <w:szCs w:val="23"/>
        </w:rPr>
        <w:t>Misura 10 Cittadelle giudiziarie.</w:t>
      </w:r>
    </w:p>
    <w:p w:rsidR="009B5AC1" w:rsidRPr="00D313B4" w:rsidRDefault="009B5AC1" w:rsidP="00D313B4">
      <w:pPr>
        <w:pStyle w:val="Corpotesto"/>
        <w:spacing w:line="360" w:lineRule="auto"/>
        <w:ind w:left="720" w:hanging="720"/>
        <w:jc w:val="both"/>
        <w:rPr>
          <w:sz w:val="23"/>
          <w:szCs w:val="23"/>
        </w:rPr>
      </w:pPr>
      <w:r>
        <w:rPr>
          <w:sz w:val="23"/>
          <w:szCs w:val="23"/>
        </w:rPr>
        <w:t xml:space="preserve">L’intervento </w:t>
      </w:r>
      <w:proofErr w:type="spellStart"/>
      <w:r>
        <w:rPr>
          <w:sz w:val="23"/>
          <w:szCs w:val="23"/>
        </w:rPr>
        <w:t>Efficientamento</w:t>
      </w:r>
      <w:proofErr w:type="spellEnd"/>
      <w:r>
        <w:rPr>
          <w:sz w:val="23"/>
          <w:szCs w:val="23"/>
        </w:rPr>
        <w:t xml:space="preserve"> degli edifici giudiziari è un sub-investimento della Missione 2 Rivoluzione verde e transizione ecologica, Componente 3 Efficienza energetica e riqualificazione degli </w:t>
      </w:r>
      <w:r>
        <w:rPr>
          <w:sz w:val="23"/>
          <w:szCs w:val="23"/>
        </w:rPr>
        <w:lastRenderedPageBreak/>
        <w:t>edifici. Le risorse totali sono pari a 411,7 milioni.</w:t>
      </w:r>
      <w:r w:rsidR="00D313B4">
        <w:rPr>
          <w:sz w:val="23"/>
          <w:szCs w:val="23"/>
        </w:rPr>
        <w:t xml:space="preserve"> </w:t>
      </w:r>
      <w:r w:rsidRPr="00262A5F">
        <w:rPr>
          <w:b/>
          <w:i/>
          <w:sz w:val="23"/>
          <w:szCs w:val="23"/>
          <w:u w:val="single"/>
        </w:rPr>
        <w:t>Comune di Trapani 0 €</w:t>
      </w:r>
    </w:p>
    <w:p w:rsidR="009B5AC1" w:rsidRDefault="009B5AC1" w:rsidP="00A43655">
      <w:pPr>
        <w:pStyle w:val="Corpotesto"/>
        <w:spacing w:line="360" w:lineRule="auto"/>
        <w:ind w:left="720" w:hanging="720"/>
        <w:jc w:val="both"/>
        <w:rPr>
          <w:b/>
          <w:bCs/>
          <w:i/>
          <w:iCs/>
          <w:sz w:val="23"/>
          <w:szCs w:val="23"/>
        </w:rPr>
      </w:pPr>
    </w:p>
    <w:p w:rsidR="009B5AC1" w:rsidRDefault="009B5AC1" w:rsidP="00A43655">
      <w:pPr>
        <w:pStyle w:val="Corpotesto"/>
        <w:spacing w:line="360" w:lineRule="auto"/>
        <w:ind w:left="720" w:hanging="720"/>
        <w:jc w:val="both"/>
        <w:rPr>
          <w:b/>
          <w:bCs/>
          <w:i/>
          <w:iCs/>
          <w:sz w:val="23"/>
          <w:szCs w:val="23"/>
        </w:rPr>
      </w:pPr>
      <w:r>
        <w:rPr>
          <w:b/>
          <w:bCs/>
          <w:i/>
          <w:iCs/>
          <w:sz w:val="23"/>
          <w:szCs w:val="23"/>
        </w:rPr>
        <w:t>Misura 11 Edilizia residenziale pubblica</w:t>
      </w:r>
    </w:p>
    <w:p w:rsidR="009B5AC1" w:rsidRDefault="009B5AC1" w:rsidP="00A43655">
      <w:pPr>
        <w:pStyle w:val="Corpotesto"/>
        <w:spacing w:line="360" w:lineRule="auto"/>
        <w:ind w:left="720" w:hanging="720"/>
        <w:jc w:val="both"/>
        <w:rPr>
          <w:sz w:val="23"/>
          <w:szCs w:val="23"/>
        </w:rPr>
      </w:pPr>
      <w:r>
        <w:rPr>
          <w:sz w:val="23"/>
          <w:szCs w:val="23"/>
        </w:rPr>
        <w:t>Il Programma Sicuro, verde e sociale: riqualificazione dell’edilizia residenziale pubblica è finanziato 2 miliardi del Fondo complementare al PNRR, con l’obiettivo di migliorare l’efficienza energetica, la resilienza e la sicurezza sismica del patrimonio residenziale pubblico, nonché la condizione sociale nei tessuti edilizi in cui sono situati.</w:t>
      </w:r>
    </w:p>
    <w:p w:rsidR="009B5AC1" w:rsidRDefault="009B5AC1" w:rsidP="00A43655">
      <w:pPr>
        <w:pStyle w:val="Corpotesto"/>
        <w:spacing w:line="360" w:lineRule="auto"/>
        <w:ind w:left="720" w:hanging="720"/>
        <w:jc w:val="both"/>
        <w:rPr>
          <w:sz w:val="23"/>
          <w:szCs w:val="23"/>
        </w:rPr>
      </w:pPr>
      <w:proofErr w:type="gramStart"/>
      <w:r>
        <w:rPr>
          <w:sz w:val="23"/>
          <w:szCs w:val="23"/>
        </w:rPr>
        <w:t>con</w:t>
      </w:r>
      <w:proofErr w:type="gramEnd"/>
      <w:r>
        <w:rPr>
          <w:sz w:val="23"/>
          <w:szCs w:val="23"/>
        </w:rPr>
        <w:t xml:space="preserve"> riserva del 40% per le regioni del Mezzogiorno. Le regioni maggiormente beneficiarie di questo riparto sono state la Campania con oltre 295 milioni, Lombardia 252, Lazio 240 e Sicilia 233.</w:t>
      </w:r>
    </w:p>
    <w:p w:rsidR="008159DE" w:rsidRPr="00262A5F" w:rsidRDefault="008159DE" w:rsidP="00A43655">
      <w:pPr>
        <w:pStyle w:val="Corpotesto"/>
        <w:spacing w:line="360" w:lineRule="auto"/>
        <w:ind w:left="720" w:hanging="720"/>
        <w:jc w:val="both"/>
        <w:rPr>
          <w:b/>
          <w:i/>
          <w:sz w:val="23"/>
          <w:szCs w:val="23"/>
          <w:u w:val="single"/>
        </w:rPr>
      </w:pPr>
      <w:r w:rsidRPr="00262A5F">
        <w:rPr>
          <w:b/>
          <w:i/>
          <w:sz w:val="23"/>
          <w:szCs w:val="23"/>
          <w:u w:val="single"/>
        </w:rPr>
        <w:t>Comune di Trapani 0 €</w:t>
      </w:r>
    </w:p>
    <w:p w:rsidR="008159DE" w:rsidRDefault="00FF5B71" w:rsidP="00A43655">
      <w:pPr>
        <w:pStyle w:val="Corpotesto"/>
        <w:spacing w:line="360" w:lineRule="auto"/>
        <w:ind w:left="720" w:hanging="720"/>
        <w:jc w:val="both"/>
        <w:rPr>
          <w:sz w:val="23"/>
          <w:szCs w:val="23"/>
        </w:rPr>
      </w:pPr>
      <w:r>
        <w:rPr>
          <w:sz w:val="23"/>
          <w:szCs w:val="23"/>
        </w:rPr>
        <w:t>E’ bene ricordare che le allocazioni in ogni città dipendono dall’interazione di tre principali elementi: 1) alcune misure prevedevano già la definizione dei progetti; 2) alcune misure (come si è visto nel paragrafo precedente) erano destinate solo ad alcune tipologie di beneficiari, come le città metropolitane o quelle ad alto livello di inquinamento ambientale; 3) altre, invece, hanno allocato le proprie risorse sulla base di bandi competitivi fra le amministrazioni; 4) vige la regola, successiva alla definizione del PNRR, che in ogni atto attuativo il 40% degli importi dovrebbe essere destinato al Mezzogiorno.</w:t>
      </w:r>
    </w:p>
    <w:p w:rsidR="008429BB" w:rsidRDefault="00FF5B71" w:rsidP="00A43655">
      <w:pPr>
        <w:pStyle w:val="Corpotesto"/>
        <w:spacing w:line="360" w:lineRule="auto"/>
        <w:ind w:left="720" w:hanging="720"/>
        <w:jc w:val="both"/>
      </w:pPr>
      <w:r>
        <w:rPr>
          <w:sz w:val="23"/>
          <w:szCs w:val="23"/>
        </w:rPr>
        <w:t>Naturalmente, è indispensabile ponderare gli importi assoluti per la dimensione demografica delle città, esprimendo le cifre in euro per abitante. Sono evidenti significative disparità. In primo luogo, la tabella 8 elenca le trenta città con la maggiore intensità di investimento per abitante. La classifica è guidata da città con rilevanti interventi nei porti (Trapani, Trieste, Venezia, Genova, Cagliari, Brindisi, Ravenna)</w:t>
      </w:r>
      <w:r w:rsidR="008429BB" w:rsidRPr="008429BB">
        <w:t xml:space="preserve"> </w:t>
      </w:r>
    </w:p>
    <w:p w:rsidR="008429BB" w:rsidRDefault="008429BB" w:rsidP="00D313B4">
      <w:pPr>
        <w:pStyle w:val="Corpotesto"/>
        <w:spacing w:before="100" w:beforeAutospacing="1" w:after="100" w:afterAutospacing="1" w:line="360" w:lineRule="auto"/>
        <w:jc w:val="both"/>
        <w:rPr>
          <w:sz w:val="23"/>
          <w:szCs w:val="23"/>
        </w:rPr>
      </w:pPr>
      <w:r>
        <w:t>Risorse destinate alle città e città metropolitane del Sud</w:t>
      </w:r>
    </w:p>
    <w:tbl>
      <w:tblPr>
        <w:tblStyle w:val="Grigliatabella"/>
        <w:tblW w:w="0" w:type="auto"/>
        <w:tblInd w:w="720" w:type="dxa"/>
        <w:tblLook w:val="04A0" w:firstRow="1" w:lastRow="0" w:firstColumn="1" w:lastColumn="0" w:noHBand="0" w:noVBand="1"/>
      </w:tblPr>
      <w:tblGrid>
        <w:gridCol w:w="462"/>
        <w:gridCol w:w="3242"/>
        <w:gridCol w:w="1815"/>
        <w:gridCol w:w="1808"/>
        <w:gridCol w:w="1811"/>
      </w:tblGrid>
      <w:tr w:rsidR="008429BB" w:rsidTr="008429BB">
        <w:tc>
          <w:tcPr>
            <w:tcW w:w="462"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Np</w:t>
            </w:r>
          </w:p>
        </w:tc>
        <w:tc>
          <w:tcPr>
            <w:tcW w:w="3242"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Tipo Misura fin.</w:t>
            </w:r>
          </w:p>
        </w:tc>
        <w:tc>
          <w:tcPr>
            <w:tcW w:w="1815"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proofErr w:type="gramStart"/>
            <w:r w:rsidRPr="008429BB">
              <w:rPr>
                <w:b/>
                <w:i/>
                <w:sz w:val="20"/>
                <w:szCs w:val="20"/>
              </w:rPr>
              <w:t>descrizione</w:t>
            </w:r>
            <w:proofErr w:type="gramEnd"/>
          </w:p>
        </w:tc>
        <w:tc>
          <w:tcPr>
            <w:tcW w:w="1808"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 xml:space="preserve">Ente </w:t>
            </w:r>
            <w:proofErr w:type="spellStart"/>
            <w:r w:rsidRPr="008429BB">
              <w:rPr>
                <w:b/>
                <w:i/>
                <w:sz w:val="20"/>
                <w:szCs w:val="20"/>
              </w:rPr>
              <w:t>prom</w:t>
            </w:r>
            <w:proofErr w:type="spellEnd"/>
            <w:r w:rsidRPr="008429BB">
              <w:rPr>
                <w:b/>
                <w:i/>
                <w:sz w:val="20"/>
                <w:szCs w:val="20"/>
              </w:rPr>
              <w:t>.</w:t>
            </w:r>
          </w:p>
        </w:tc>
        <w:tc>
          <w:tcPr>
            <w:tcW w:w="1811"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proofErr w:type="spellStart"/>
            <w:r w:rsidRPr="008429BB">
              <w:rPr>
                <w:b/>
                <w:i/>
                <w:sz w:val="20"/>
                <w:szCs w:val="20"/>
              </w:rPr>
              <w:t>Finanz</w:t>
            </w:r>
            <w:proofErr w:type="spellEnd"/>
            <w:r w:rsidRPr="008429BB">
              <w:rPr>
                <w:b/>
                <w:i/>
                <w:sz w:val="20"/>
                <w:szCs w:val="20"/>
              </w:rPr>
              <w:t>.</w:t>
            </w:r>
          </w:p>
        </w:tc>
      </w:tr>
      <w:tr w:rsidR="008429BB" w:rsidTr="008429BB">
        <w:tc>
          <w:tcPr>
            <w:tcW w:w="462"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1</w:t>
            </w:r>
          </w:p>
        </w:tc>
        <w:tc>
          <w:tcPr>
            <w:tcW w:w="3242" w:type="dxa"/>
            <w:vAlign w:val="center"/>
          </w:tcPr>
          <w:p w:rsidR="008429BB" w:rsidRPr="008429BB" w:rsidRDefault="008429BB" w:rsidP="008429BB">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ZES - Porti </w:t>
            </w:r>
          </w:p>
        </w:tc>
        <w:tc>
          <w:tcPr>
            <w:tcW w:w="1815" w:type="dxa"/>
            <w:vAlign w:val="center"/>
          </w:tcPr>
          <w:p w:rsidR="008429BB" w:rsidRPr="000F6841" w:rsidRDefault="000F6841" w:rsidP="00A43655">
            <w:pPr>
              <w:pStyle w:val="Corpotesto"/>
              <w:spacing w:before="100" w:beforeAutospacing="1" w:after="100" w:afterAutospacing="1" w:line="360" w:lineRule="auto"/>
              <w:jc w:val="center"/>
              <w:rPr>
                <w:sz w:val="20"/>
                <w:szCs w:val="20"/>
              </w:rPr>
            </w:pPr>
            <w:r w:rsidRPr="000F6841">
              <w:rPr>
                <w:sz w:val="20"/>
                <w:szCs w:val="20"/>
              </w:rPr>
              <w:t>Potenziamento dei collegamenti tra il porto e area industriale</w:t>
            </w:r>
          </w:p>
        </w:tc>
        <w:tc>
          <w:tcPr>
            <w:tcW w:w="1808" w:type="dxa"/>
            <w:vAlign w:val="center"/>
          </w:tcPr>
          <w:p w:rsidR="008429BB" w:rsidRPr="00A43655" w:rsidRDefault="00A43655" w:rsidP="008429BB">
            <w:pPr>
              <w:pStyle w:val="Corpotesto"/>
              <w:spacing w:before="100" w:beforeAutospacing="1" w:after="100" w:afterAutospacing="1" w:line="360" w:lineRule="auto"/>
              <w:jc w:val="center"/>
              <w:rPr>
                <w:sz w:val="20"/>
                <w:szCs w:val="20"/>
              </w:rPr>
            </w:pPr>
            <w:r w:rsidRPr="00A43655">
              <w:rPr>
                <w:sz w:val="20"/>
                <w:szCs w:val="20"/>
              </w:rPr>
              <w:t>Regione Sicilia Assessorato alle Attività Produttive</w:t>
            </w:r>
          </w:p>
        </w:tc>
        <w:tc>
          <w:tcPr>
            <w:tcW w:w="1811" w:type="dxa"/>
            <w:vAlign w:val="center"/>
          </w:tcPr>
          <w:p w:rsidR="008429BB" w:rsidRPr="00A43655" w:rsidRDefault="00A43655" w:rsidP="008429BB">
            <w:pPr>
              <w:pStyle w:val="Corpotesto"/>
              <w:spacing w:before="100" w:beforeAutospacing="1" w:after="100" w:afterAutospacing="1" w:line="360" w:lineRule="auto"/>
              <w:jc w:val="center"/>
              <w:rPr>
                <w:sz w:val="20"/>
                <w:szCs w:val="20"/>
              </w:rPr>
            </w:pPr>
            <w:r w:rsidRPr="00A43655">
              <w:rPr>
                <w:sz w:val="20"/>
                <w:szCs w:val="20"/>
              </w:rPr>
              <w:t>17.800.000/00</w:t>
            </w:r>
            <w:r>
              <w:rPr>
                <w:sz w:val="20"/>
                <w:szCs w:val="20"/>
              </w:rPr>
              <w:t xml:space="preserve"> €</w:t>
            </w:r>
          </w:p>
        </w:tc>
      </w:tr>
      <w:tr w:rsidR="008429BB" w:rsidTr="008429BB">
        <w:tc>
          <w:tcPr>
            <w:tcW w:w="462"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2</w:t>
            </w:r>
          </w:p>
        </w:tc>
        <w:tc>
          <w:tcPr>
            <w:tcW w:w="3242" w:type="dxa"/>
            <w:vAlign w:val="center"/>
          </w:tcPr>
          <w:p w:rsidR="008429BB" w:rsidRPr="008429BB" w:rsidRDefault="008429BB" w:rsidP="008429BB">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Rigenerazione urbana </w:t>
            </w:r>
          </w:p>
        </w:tc>
        <w:tc>
          <w:tcPr>
            <w:tcW w:w="1815" w:type="dxa"/>
            <w:vAlign w:val="center"/>
          </w:tcPr>
          <w:p w:rsidR="008429BB" w:rsidRPr="00A43655" w:rsidRDefault="008429BB" w:rsidP="008429BB">
            <w:pPr>
              <w:pStyle w:val="Corpotesto"/>
              <w:spacing w:before="100" w:beforeAutospacing="1" w:after="100" w:afterAutospacing="1" w:line="360" w:lineRule="auto"/>
              <w:jc w:val="center"/>
              <w:rPr>
                <w:sz w:val="20"/>
                <w:szCs w:val="20"/>
              </w:rPr>
            </w:pPr>
          </w:p>
        </w:tc>
        <w:tc>
          <w:tcPr>
            <w:tcW w:w="1808" w:type="dxa"/>
            <w:vAlign w:val="center"/>
          </w:tcPr>
          <w:p w:rsidR="008429BB" w:rsidRPr="00A43655" w:rsidRDefault="008429BB" w:rsidP="008429BB">
            <w:pPr>
              <w:pStyle w:val="Corpotesto"/>
              <w:spacing w:before="100" w:beforeAutospacing="1" w:after="100" w:afterAutospacing="1" w:line="360" w:lineRule="auto"/>
              <w:jc w:val="center"/>
              <w:rPr>
                <w:sz w:val="20"/>
                <w:szCs w:val="20"/>
              </w:rPr>
            </w:pPr>
          </w:p>
        </w:tc>
        <w:tc>
          <w:tcPr>
            <w:tcW w:w="1811" w:type="dxa"/>
            <w:vAlign w:val="center"/>
          </w:tcPr>
          <w:p w:rsidR="008429BB" w:rsidRPr="00A43655" w:rsidRDefault="00A43655" w:rsidP="008429BB">
            <w:pPr>
              <w:pStyle w:val="Corpotesto"/>
              <w:spacing w:before="100" w:beforeAutospacing="1" w:after="100" w:afterAutospacing="1" w:line="360" w:lineRule="auto"/>
              <w:jc w:val="center"/>
              <w:rPr>
                <w:sz w:val="20"/>
                <w:szCs w:val="20"/>
              </w:rPr>
            </w:pPr>
            <w:r>
              <w:rPr>
                <w:sz w:val="20"/>
                <w:szCs w:val="20"/>
              </w:rPr>
              <w:t>0</w:t>
            </w:r>
          </w:p>
        </w:tc>
      </w:tr>
      <w:tr w:rsidR="008429BB" w:rsidTr="008429BB">
        <w:tc>
          <w:tcPr>
            <w:tcW w:w="462"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3</w:t>
            </w:r>
          </w:p>
        </w:tc>
        <w:tc>
          <w:tcPr>
            <w:tcW w:w="3242" w:type="dxa"/>
            <w:vAlign w:val="center"/>
          </w:tcPr>
          <w:p w:rsidR="008429BB" w:rsidRPr="008429BB" w:rsidRDefault="008429BB" w:rsidP="008429BB">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Piani urbani integrati </w:t>
            </w:r>
          </w:p>
        </w:tc>
        <w:tc>
          <w:tcPr>
            <w:tcW w:w="1815" w:type="dxa"/>
            <w:vAlign w:val="center"/>
          </w:tcPr>
          <w:p w:rsidR="008429BB" w:rsidRPr="00A43655" w:rsidRDefault="008429BB" w:rsidP="008429BB">
            <w:pPr>
              <w:pStyle w:val="Corpotesto"/>
              <w:spacing w:before="100" w:beforeAutospacing="1" w:after="100" w:afterAutospacing="1" w:line="360" w:lineRule="auto"/>
              <w:jc w:val="center"/>
              <w:rPr>
                <w:sz w:val="20"/>
                <w:szCs w:val="20"/>
              </w:rPr>
            </w:pPr>
          </w:p>
        </w:tc>
        <w:tc>
          <w:tcPr>
            <w:tcW w:w="1808" w:type="dxa"/>
            <w:vAlign w:val="center"/>
          </w:tcPr>
          <w:p w:rsidR="008429BB" w:rsidRPr="00A43655" w:rsidRDefault="008429BB" w:rsidP="008429BB">
            <w:pPr>
              <w:pStyle w:val="Corpotesto"/>
              <w:spacing w:before="100" w:beforeAutospacing="1" w:after="100" w:afterAutospacing="1" w:line="360" w:lineRule="auto"/>
              <w:jc w:val="center"/>
              <w:rPr>
                <w:sz w:val="20"/>
                <w:szCs w:val="20"/>
              </w:rPr>
            </w:pPr>
          </w:p>
        </w:tc>
        <w:tc>
          <w:tcPr>
            <w:tcW w:w="1811" w:type="dxa"/>
            <w:vAlign w:val="center"/>
          </w:tcPr>
          <w:p w:rsidR="008429BB" w:rsidRPr="00A43655" w:rsidRDefault="00A43655" w:rsidP="008429BB">
            <w:pPr>
              <w:pStyle w:val="Corpotesto"/>
              <w:spacing w:before="100" w:beforeAutospacing="1" w:after="100" w:afterAutospacing="1" w:line="360" w:lineRule="auto"/>
              <w:jc w:val="center"/>
              <w:rPr>
                <w:sz w:val="20"/>
                <w:szCs w:val="20"/>
              </w:rPr>
            </w:pPr>
            <w:r>
              <w:rPr>
                <w:sz w:val="20"/>
                <w:szCs w:val="20"/>
              </w:rPr>
              <w:t>0</w:t>
            </w:r>
          </w:p>
        </w:tc>
      </w:tr>
      <w:tr w:rsidR="000F6841" w:rsidTr="000F6841">
        <w:trPr>
          <w:trHeight w:val="663"/>
        </w:trPr>
        <w:tc>
          <w:tcPr>
            <w:tcW w:w="462" w:type="dxa"/>
            <w:vMerge w:val="restart"/>
            <w:vAlign w:val="center"/>
          </w:tcPr>
          <w:p w:rsidR="000F6841" w:rsidRPr="008429BB" w:rsidRDefault="000F6841" w:rsidP="008429BB">
            <w:pPr>
              <w:pStyle w:val="Corpotesto"/>
              <w:spacing w:before="100" w:beforeAutospacing="1" w:after="100" w:afterAutospacing="1" w:line="360" w:lineRule="auto"/>
              <w:jc w:val="center"/>
              <w:rPr>
                <w:b/>
                <w:i/>
                <w:sz w:val="20"/>
                <w:szCs w:val="20"/>
              </w:rPr>
            </w:pPr>
            <w:r w:rsidRPr="008429BB">
              <w:rPr>
                <w:b/>
                <w:i/>
                <w:sz w:val="20"/>
                <w:szCs w:val="20"/>
              </w:rPr>
              <w:t>4</w:t>
            </w:r>
          </w:p>
        </w:tc>
        <w:tc>
          <w:tcPr>
            <w:tcW w:w="3242" w:type="dxa"/>
            <w:vMerge w:val="restart"/>
            <w:vAlign w:val="center"/>
          </w:tcPr>
          <w:p w:rsidR="000F6841" w:rsidRPr="008429BB" w:rsidRDefault="000F6841" w:rsidP="008429BB">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Porti </w:t>
            </w:r>
          </w:p>
        </w:tc>
        <w:tc>
          <w:tcPr>
            <w:tcW w:w="1815" w:type="dxa"/>
            <w:vAlign w:val="center"/>
          </w:tcPr>
          <w:p w:rsidR="000F6841" w:rsidRPr="000F6841" w:rsidRDefault="000F6841" w:rsidP="008429BB">
            <w:pPr>
              <w:pStyle w:val="Corpotesto"/>
              <w:spacing w:before="100" w:beforeAutospacing="1" w:after="100" w:afterAutospacing="1" w:line="360" w:lineRule="auto"/>
              <w:jc w:val="center"/>
              <w:rPr>
                <w:sz w:val="20"/>
                <w:szCs w:val="20"/>
              </w:rPr>
            </w:pPr>
            <w:r w:rsidRPr="000F6841">
              <w:rPr>
                <w:sz w:val="20"/>
                <w:szCs w:val="20"/>
              </w:rPr>
              <w:t>Lavori di dragaggio dell'avamporto e delle aree a ponente dello sporgente Ronciglio</w:t>
            </w:r>
          </w:p>
        </w:tc>
        <w:tc>
          <w:tcPr>
            <w:tcW w:w="1808" w:type="dxa"/>
            <w:vMerge w:val="restart"/>
            <w:vAlign w:val="center"/>
          </w:tcPr>
          <w:p w:rsidR="000F6841" w:rsidRPr="00A43655" w:rsidRDefault="000F6841" w:rsidP="008429BB">
            <w:pPr>
              <w:pStyle w:val="Corpotesto"/>
              <w:spacing w:before="100" w:beforeAutospacing="1" w:after="100" w:afterAutospacing="1" w:line="360" w:lineRule="auto"/>
              <w:jc w:val="center"/>
              <w:rPr>
                <w:sz w:val="20"/>
                <w:szCs w:val="20"/>
              </w:rPr>
            </w:pPr>
            <w:r w:rsidRPr="00A43655">
              <w:rPr>
                <w:sz w:val="20"/>
                <w:szCs w:val="20"/>
              </w:rPr>
              <w:t>Autorità Portuale di Sistema della Sicilia Occidentale</w:t>
            </w:r>
          </w:p>
        </w:tc>
        <w:tc>
          <w:tcPr>
            <w:tcW w:w="1811" w:type="dxa"/>
            <w:vAlign w:val="center"/>
          </w:tcPr>
          <w:p w:rsidR="000F6841" w:rsidRPr="000F6841" w:rsidRDefault="000F6841" w:rsidP="008429BB">
            <w:pPr>
              <w:pStyle w:val="Corpotesto"/>
              <w:spacing w:before="100" w:beforeAutospacing="1" w:after="100" w:afterAutospacing="1" w:line="360" w:lineRule="auto"/>
              <w:jc w:val="center"/>
              <w:rPr>
                <w:sz w:val="20"/>
                <w:szCs w:val="20"/>
              </w:rPr>
            </w:pPr>
            <w:r w:rsidRPr="000F6841">
              <w:rPr>
                <w:sz w:val="20"/>
                <w:szCs w:val="20"/>
              </w:rPr>
              <w:t>67.000.000/00</w:t>
            </w:r>
            <w:r>
              <w:rPr>
                <w:sz w:val="20"/>
                <w:szCs w:val="20"/>
              </w:rPr>
              <w:t xml:space="preserve"> €</w:t>
            </w:r>
          </w:p>
        </w:tc>
      </w:tr>
      <w:tr w:rsidR="000F6841" w:rsidTr="008429BB">
        <w:trPr>
          <w:trHeight w:val="662"/>
        </w:trPr>
        <w:tc>
          <w:tcPr>
            <w:tcW w:w="462" w:type="dxa"/>
            <w:vMerge/>
            <w:vAlign w:val="center"/>
          </w:tcPr>
          <w:p w:rsidR="000F6841" w:rsidRPr="008429BB" w:rsidRDefault="000F6841" w:rsidP="008429BB">
            <w:pPr>
              <w:pStyle w:val="Corpotesto"/>
              <w:spacing w:before="100" w:beforeAutospacing="1" w:after="100" w:afterAutospacing="1" w:line="360" w:lineRule="auto"/>
              <w:jc w:val="center"/>
              <w:rPr>
                <w:b/>
                <w:i/>
                <w:sz w:val="20"/>
                <w:szCs w:val="20"/>
              </w:rPr>
            </w:pPr>
          </w:p>
        </w:tc>
        <w:tc>
          <w:tcPr>
            <w:tcW w:w="3242" w:type="dxa"/>
            <w:vMerge/>
            <w:vAlign w:val="center"/>
          </w:tcPr>
          <w:p w:rsidR="000F6841" w:rsidRPr="008429BB" w:rsidRDefault="000F6841" w:rsidP="008429BB">
            <w:pPr>
              <w:pStyle w:val="Default"/>
              <w:rPr>
                <w:rFonts w:ascii="Times New Roman" w:hAnsi="Times New Roman" w:cs="Times New Roman"/>
                <w:b/>
                <w:bCs/>
                <w:sz w:val="20"/>
                <w:szCs w:val="20"/>
              </w:rPr>
            </w:pPr>
          </w:p>
        </w:tc>
        <w:tc>
          <w:tcPr>
            <w:tcW w:w="1815" w:type="dxa"/>
            <w:vAlign w:val="center"/>
          </w:tcPr>
          <w:p w:rsidR="000F6841" w:rsidRPr="000F6841" w:rsidRDefault="000F6841" w:rsidP="000F6841">
            <w:pPr>
              <w:pStyle w:val="Corpotesto"/>
              <w:spacing w:before="100" w:beforeAutospacing="1" w:after="100" w:afterAutospacing="1" w:line="360" w:lineRule="auto"/>
              <w:jc w:val="center"/>
              <w:rPr>
                <w:sz w:val="20"/>
                <w:szCs w:val="20"/>
              </w:rPr>
            </w:pPr>
            <w:r w:rsidRPr="000F6841">
              <w:rPr>
                <w:sz w:val="20"/>
                <w:szCs w:val="20"/>
              </w:rPr>
              <w:t xml:space="preserve">Intervento Green </w:t>
            </w:r>
            <w:proofErr w:type="spellStart"/>
            <w:r w:rsidRPr="000F6841">
              <w:rPr>
                <w:sz w:val="20"/>
                <w:szCs w:val="20"/>
              </w:rPr>
              <w:t>port</w:t>
            </w:r>
            <w:proofErr w:type="spellEnd"/>
          </w:p>
        </w:tc>
        <w:tc>
          <w:tcPr>
            <w:tcW w:w="1808" w:type="dxa"/>
            <w:vMerge/>
            <w:vAlign w:val="center"/>
          </w:tcPr>
          <w:p w:rsidR="000F6841" w:rsidRPr="00A43655" w:rsidRDefault="000F6841" w:rsidP="008429BB">
            <w:pPr>
              <w:pStyle w:val="Corpotesto"/>
              <w:spacing w:before="100" w:beforeAutospacing="1" w:after="100" w:afterAutospacing="1" w:line="360" w:lineRule="auto"/>
              <w:jc w:val="center"/>
              <w:rPr>
                <w:sz w:val="20"/>
                <w:szCs w:val="20"/>
              </w:rPr>
            </w:pPr>
          </w:p>
        </w:tc>
        <w:tc>
          <w:tcPr>
            <w:tcW w:w="1811" w:type="dxa"/>
            <w:vAlign w:val="center"/>
          </w:tcPr>
          <w:p w:rsidR="000F6841" w:rsidRPr="000F6841" w:rsidRDefault="000F6841" w:rsidP="008429BB">
            <w:pPr>
              <w:pStyle w:val="Corpotesto"/>
              <w:spacing w:before="100" w:beforeAutospacing="1" w:after="100" w:afterAutospacing="1" w:line="360" w:lineRule="auto"/>
              <w:jc w:val="center"/>
              <w:rPr>
                <w:sz w:val="20"/>
                <w:szCs w:val="20"/>
              </w:rPr>
            </w:pPr>
            <w:r>
              <w:rPr>
                <w:sz w:val="20"/>
                <w:szCs w:val="20"/>
              </w:rPr>
              <w:t>6.000.000/00 €</w:t>
            </w:r>
          </w:p>
        </w:tc>
      </w:tr>
      <w:tr w:rsidR="008429BB" w:rsidTr="008429BB">
        <w:tc>
          <w:tcPr>
            <w:tcW w:w="462" w:type="dxa"/>
            <w:vAlign w:val="center"/>
          </w:tcPr>
          <w:p w:rsidR="008429BB" w:rsidRPr="008429BB" w:rsidRDefault="008429BB" w:rsidP="008429BB">
            <w:pPr>
              <w:pStyle w:val="Corpotesto"/>
              <w:spacing w:before="100" w:beforeAutospacing="1" w:after="100" w:afterAutospacing="1" w:line="360" w:lineRule="auto"/>
              <w:jc w:val="center"/>
              <w:rPr>
                <w:b/>
                <w:i/>
                <w:sz w:val="20"/>
                <w:szCs w:val="20"/>
              </w:rPr>
            </w:pPr>
            <w:r w:rsidRPr="008429BB">
              <w:rPr>
                <w:b/>
                <w:i/>
                <w:sz w:val="20"/>
                <w:szCs w:val="20"/>
              </w:rPr>
              <w:t>5</w:t>
            </w:r>
          </w:p>
        </w:tc>
        <w:tc>
          <w:tcPr>
            <w:tcW w:w="3242" w:type="dxa"/>
            <w:vAlign w:val="center"/>
          </w:tcPr>
          <w:p w:rsidR="008429BB" w:rsidRPr="008429BB" w:rsidRDefault="008429BB" w:rsidP="008429BB">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Edilizia residenziale pubblica </w:t>
            </w:r>
          </w:p>
        </w:tc>
        <w:tc>
          <w:tcPr>
            <w:tcW w:w="1815" w:type="dxa"/>
            <w:vAlign w:val="center"/>
          </w:tcPr>
          <w:p w:rsidR="008429BB" w:rsidRPr="00A43655" w:rsidRDefault="008429BB" w:rsidP="008429BB">
            <w:pPr>
              <w:pStyle w:val="Corpotesto"/>
              <w:spacing w:before="100" w:beforeAutospacing="1" w:after="100" w:afterAutospacing="1" w:line="360" w:lineRule="auto"/>
              <w:jc w:val="center"/>
              <w:rPr>
                <w:sz w:val="20"/>
                <w:szCs w:val="20"/>
              </w:rPr>
            </w:pPr>
          </w:p>
        </w:tc>
        <w:tc>
          <w:tcPr>
            <w:tcW w:w="1808" w:type="dxa"/>
            <w:vAlign w:val="center"/>
          </w:tcPr>
          <w:p w:rsidR="008429BB" w:rsidRPr="00A43655" w:rsidRDefault="008429BB" w:rsidP="008429BB">
            <w:pPr>
              <w:pStyle w:val="Corpotesto"/>
              <w:spacing w:before="100" w:beforeAutospacing="1" w:after="100" w:afterAutospacing="1" w:line="360" w:lineRule="auto"/>
              <w:jc w:val="center"/>
              <w:rPr>
                <w:sz w:val="20"/>
                <w:szCs w:val="20"/>
              </w:rPr>
            </w:pPr>
          </w:p>
        </w:tc>
        <w:tc>
          <w:tcPr>
            <w:tcW w:w="1811" w:type="dxa"/>
            <w:vAlign w:val="center"/>
          </w:tcPr>
          <w:p w:rsidR="008429BB" w:rsidRPr="00A43655" w:rsidRDefault="00A43655" w:rsidP="008429BB">
            <w:pPr>
              <w:pStyle w:val="Corpotesto"/>
              <w:spacing w:before="100" w:beforeAutospacing="1" w:after="100" w:afterAutospacing="1" w:line="360" w:lineRule="auto"/>
              <w:jc w:val="center"/>
              <w:rPr>
                <w:sz w:val="20"/>
                <w:szCs w:val="20"/>
              </w:rPr>
            </w:pPr>
            <w:r>
              <w:rPr>
                <w:sz w:val="20"/>
                <w:szCs w:val="20"/>
              </w:rPr>
              <w:t>0</w:t>
            </w:r>
          </w:p>
        </w:tc>
      </w:tr>
      <w:tr w:rsidR="00A43655" w:rsidTr="00A43655">
        <w:trPr>
          <w:trHeight w:val="265"/>
        </w:trPr>
        <w:tc>
          <w:tcPr>
            <w:tcW w:w="462" w:type="dxa"/>
            <w:vMerge w:val="restart"/>
            <w:vAlign w:val="center"/>
          </w:tcPr>
          <w:p w:rsidR="00A43655" w:rsidRPr="008429BB" w:rsidRDefault="00A43655" w:rsidP="008429BB">
            <w:pPr>
              <w:pStyle w:val="Corpotesto"/>
              <w:spacing w:before="100" w:beforeAutospacing="1" w:after="100" w:afterAutospacing="1" w:line="360" w:lineRule="auto"/>
              <w:jc w:val="center"/>
              <w:rPr>
                <w:b/>
                <w:i/>
                <w:sz w:val="20"/>
                <w:szCs w:val="20"/>
              </w:rPr>
            </w:pPr>
            <w:r w:rsidRPr="008429BB">
              <w:rPr>
                <w:b/>
                <w:i/>
                <w:sz w:val="20"/>
                <w:szCs w:val="20"/>
              </w:rPr>
              <w:t>6</w:t>
            </w:r>
          </w:p>
        </w:tc>
        <w:tc>
          <w:tcPr>
            <w:tcW w:w="3242" w:type="dxa"/>
            <w:vMerge w:val="restart"/>
            <w:vAlign w:val="center"/>
          </w:tcPr>
          <w:p w:rsidR="00A43655" w:rsidRPr="008429BB" w:rsidRDefault="00A43655" w:rsidP="008429BB">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PINQUA </w:t>
            </w:r>
          </w:p>
        </w:tc>
        <w:tc>
          <w:tcPr>
            <w:tcW w:w="1815"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sidRPr="00A43655">
              <w:rPr>
                <w:sz w:val="20"/>
                <w:szCs w:val="20"/>
              </w:rPr>
              <w:t xml:space="preserve">Rione </w:t>
            </w:r>
            <w:proofErr w:type="spellStart"/>
            <w:r w:rsidRPr="00A43655">
              <w:rPr>
                <w:sz w:val="20"/>
                <w:szCs w:val="20"/>
              </w:rPr>
              <w:t>Capuccinelli</w:t>
            </w:r>
            <w:proofErr w:type="spellEnd"/>
            <w:r>
              <w:rPr>
                <w:sz w:val="20"/>
                <w:szCs w:val="20"/>
              </w:rPr>
              <w:t xml:space="preserve"> </w:t>
            </w:r>
          </w:p>
        </w:tc>
        <w:tc>
          <w:tcPr>
            <w:tcW w:w="1808"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IACP</w:t>
            </w:r>
          </w:p>
        </w:tc>
        <w:tc>
          <w:tcPr>
            <w:tcW w:w="1811" w:type="dxa"/>
            <w:vAlign w:val="center"/>
          </w:tcPr>
          <w:p w:rsidR="00A43655" w:rsidRPr="00A43655" w:rsidRDefault="00A43655" w:rsidP="008429BB">
            <w:pPr>
              <w:pStyle w:val="Corpotesto"/>
              <w:spacing w:before="100" w:beforeAutospacing="1" w:after="100" w:afterAutospacing="1" w:line="360" w:lineRule="auto"/>
              <w:jc w:val="center"/>
              <w:rPr>
                <w:sz w:val="20"/>
                <w:szCs w:val="20"/>
              </w:rPr>
            </w:pPr>
            <w:r>
              <w:rPr>
                <w:sz w:val="20"/>
                <w:szCs w:val="20"/>
              </w:rPr>
              <w:t>15.000.000/00 €</w:t>
            </w:r>
          </w:p>
        </w:tc>
      </w:tr>
      <w:tr w:rsidR="00A43655" w:rsidTr="008429BB">
        <w:trPr>
          <w:trHeight w:val="265"/>
        </w:trPr>
        <w:tc>
          <w:tcPr>
            <w:tcW w:w="462" w:type="dxa"/>
            <w:vMerge/>
            <w:vAlign w:val="center"/>
          </w:tcPr>
          <w:p w:rsidR="00A43655" w:rsidRPr="008429BB" w:rsidRDefault="00A43655" w:rsidP="00A43655">
            <w:pPr>
              <w:pStyle w:val="Corpotesto"/>
              <w:spacing w:before="100" w:beforeAutospacing="1" w:after="100" w:afterAutospacing="1" w:line="360" w:lineRule="auto"/>
              <w:jc w:val="center"/>
              <w:rPr>
                <w:b/>
                <w:i/>
                <w:sz w:val="20"/>
                <w:szCs w:val="20"/>
              </w:rPr>
            </w:pPr>
          </w:p>
        </w:tc>
        <w:tc>
          <w:tcPr>
            <w:tcW w:w="3242" w:type="dxa"/>
            <w:vMerge/>
            <w:vAlign w:val="center"/>
          </w:tcPr>
          <w:p w:rsidR="00A43655" w:rsidRPr="008429BB" w:rsidRDefault="00A43655" w:rsidP="00A43655">
            <w:pPr>
              <w:pStyle w:val="Default"/>
              <w:rPr>
                <w:rFonts w:ascii="Times New Roman" w:hAnsi="Times New Roman" w:cs="Times New Roman"/>
                <w:b/>
                <w:bCs/>
                <w:sz w:val="20"/>
                <w:szCs w:val="20"/>
              </w:rPr>
            </w:pPr>
          </w:p>
        </w:tc>
        <w:tc>
          <w:tcPr>
            <w:tcW w:w="1815"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Ex macello</w:t>
            </w:r>
          </w:p>
        </w:tc>
        <w:tc>
          <w:tcPr>
            <w:tcW w:w="1808" w:type="dxa"/>
            <w:vAlign w:val="center"/>
          </w:tcPr>
          <w:p w:rsidR="00A43655" w:rsidRDefault="00A43655" w:rsidP="00A43655">
            <w:pPr>
              <w:pStyle w:val="Corpotesto"/>
              <w:spacing w:before="100" w:beforeAutospacing="1" w:after="100" w:afterAutospacing="1" w:line="360" w:lineRule="auto"/>
              <w:jc w:val="center"/>
              <w:rPr>
                <w:sz w:val="20"/>
                <w:szCs w:val="20"/>
              </w:rPr>
            </w:pPr>
            <w:r>
              <w:rPr>
                <w:sz w:val="20"/>
                <w:szCs w:val="20"/>
              </w:rPr>
              <w:t>Comune di Trapani</w:t>
            </w:r>
          </w:p>
        </w:tc>
        <w:tc>
          <w:tcPr>
            <w:tcW w:w="1811"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15.000.000/00 €</w:t>
            </w:r>
          </w:p>
        </w:tc>
      </w:tr>
      <w:tr w:rsidR="00A43655" w:rsidTr="008429BB">
        <w:tc>
          <w:tcPr>
            <w:tcW w:w="462" w:type="dxa"/>
            <w:vAlign w:val="center"/>
          </w:tcPr>
          <w:p w:rsidR="00A43655" w:rsidRPr="008429BB" w:rsidRDefault="00A43655" w:rsidP="00A43655">
            <w:pPr>
              <w:pStyle w:val="Corpotesto"/>
              <w:spacing w:before="100" w:beforeAutospacing="1" w:after="100" w:afterAutospacing="1" w:line="360" w:lineRule="auto"/>
              <w:jc w:val="center"/>
              <w:rPr>
                <w:b/>
                <w:i/>
                <w:sz w:val="20"/>
                <w:szCs w:val="20"/>
              </w:rPr>
            </w:pPr>
            <w:r w:rsidRPr="008429BB">
              <w:rPr>
                <w:b/>
                <w:i/>
                <w:sz w:val="20"/>
                <w:szCs w:val="20"/>
              </w:rPr>
              <w:t>7</w:t>
            </w:r>
          </w:p>
        </w:tc>
        <w:tc>
          <w:tcPr>
            <w:tcW w:w="3242" w:type="dxa"/>
            <w:vAlign w:val="center"/>
          </w:tcPr>
          <w:p w:rsidR="00A43655" w:rsidRPr="008429BB" w:rsidRDefault="00A43655" w:rsidP="00A43655">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Rinnovo parco mezzi </w:t>
            </w:r>
          </w:p>
        </w:tc>
        <w:tc>
          <w:tcPr>
            <w:tcW w:w="1815"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08"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11"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0</w:t>
            </w:r>
          </w:p>
        </w:tc>
      </w:tr>
      <w:tr w:rsidR="000D10E1" w:rsidTr="000D10E1">
        <w:trPr>
          <w:trHeight w:val="89"/>
        </w:trPr>
        <w:tc>
          <w:tcPr>
            <w:tcW w:w="462" w:type="dxa"/>
            <w:vMerge w:val="restart"/>
            <w:vAlign w:val="center"/>
          </w:tcPr>
          <w:p w:rsidR="000D10E1" w:rsidRPr="008429BB" w:rsidRDefault="000D10E1" w:rsidP="00A43655">
            <w:pPr>
              <w:pStyle w:val="Corpotesto"/>
              <w:spacing w:before="100" w:beforeAutospacing="1" w:after="100" w:afterAutospacing="1" w:line="360" w:lineRule="auto"/>
              <w:jc w:val="center"/>
              <w:rPr>
                <w:b/>
                <w:i/>
                <w:sz w:val="20"/>
                <w:szCs w:val="20"/>
              </w:rPr>
            </w:pPr>
            <w:r w:rsidRPr="008429BB">
              <w:rPr>
                <w:b/>
                <w:i/>
                <w:sz w:val="20"/>
                <w:szCs w:val="20"/>
              </w:rPr>
              <w:t>8</w:t>
            </w:r>
          </w:p>
        </w:tc>
        <w:tc>
          <w:tcPr>
            <w:tcW w:w="3242" w:type="dxa"/>
            <w:vMerge w:val="restart"/>
            <w:vAlign w:val="center"/>
          </w:tcPr>
          <w:p w:rsidR="000D10E1" w:rsidRPr="000D10E1" w:rsidRDefault="000D10E1" w:rsidP="00A43655">
            <w:pPr>
              <w:pStyle w:val="Default"/>
              <w:rPr>
                <w:rFonts w:ascii="Times New Roman" w:hAnsi="Times New Roman" w:cs="Times New Roman"/>
                <w:b/>
                <w:sz w:val="20"/>
                <w:szCs w:val="20"/>
              </w:rPr>
            </w:pPr>
            <w:r w:rsidRPr="000D10E1">
              <w:rPr>
                <w:rFonts w:ascii="Times New Roman" w:hAnsi="Times New Roman" w:cs="Times New Roman"/>
                <w:b/>
                <w:bCs/>
                <w:iCs/>
                <w:sz w:val="20"/>
                <w:szCs w:val="20"/>
              </w:rPr>
              <w:t>Trasporto rapido di massa</w:t>
            </w:r>
          </w:p>
        </w:tc>
        <w:tc>
          <w:tcPr>
            <w:tcW w:w="1815" w:type="dxa"/>
            <w:vAlign w:val="center"/>
          </w:tcPr>
          <w:p w:rsidR="000D10E1" w:rsidRPr="003C3F40" w:rsidRDefault="003C3F40" w:rsidP="00A43655">
            <w:pPr>
              <w:pStyle w:val="Corpotesto"/>
              <w:spacing w:before="100" w:beforeAutospacing="1" w:after="100" w:afterAutospacing="1" w:line="360" w:lineRule="auto"/>
              <w:jc w:val="center"/>
              <w:rPr>
                <w:sz w:val="18"/>
                <w:szCs w:val="18"/>
              </w:rPr>
            </w:pPr>
            <w:proofErr w:type="spellStart"/>
            <w:r w:rsidRPr="003C3F40">
              <w:rPr>
                <w:sz w:val="18"/>
                <w:szCs w:val="18"/>
              </w:rPr>
              <w:t>Intermodalità</w:t>
            </w:r>
            <w:proofErr w:type="spellEnd"/>
            <w:r w:rsidRPr="003C3F40">
              <w:rPr>
                <w:sz w:val="18"/>
                <w:szCs w:val="18"/>
              </w:rPr>
              <w:t xml:space="preserve"> e accessibilità Trapani Birgi</w:t>
            </w:r>
          </w:p>
        </w:tc>
        <w:tc>
          <w:tcPr>
            <w:tcW w:w="1808" w:type="dxa"/>
            <w:vMerge w:val="restart"/>
            <w:vAlign w:val="center"/>
          </w:tcPr>
          <w:p w:rsidR="000D10E1" w:rsidRPr="00A43655" w:rsidRDefault="000D10E1" w:rsidP="00A43655">
            <w:pPr>
              <w:pStyle w:val="Corpotesto"/>
              <w:spacing w:before="100" w:beforeAutospacing="1" w:after="100" w:afterAutospacing="1" w:line="360" w:lineRule="auto"/>
              <w:jc w:val="center"/>
              <w:rPr>
                <w:sz w:val="20"/>
                <w:szCs w:val="20"/>
              </w:rPr>
            </w:pPr>
            <w:r>
              <w:rPr>
                <w:sz w:val="20"/>
                <w:szCs w:val="20"/>
              </w:rPr>
              <w:t>RFI</w:t>
            </w:r>
          </w:p>
        </w:tc>
        <w:tc>
          <w:tcPr>
            <w:tcW w:w="1811" w:type="dxa"/>
            <w:vAlign w:val="center"/>
          </w:tcPr>
          <w:p w:rsidR="000D10E1" w:rsidRPr="00A43655" w:rsidRDefault="003C3F40" w:rsidP="00A43655">
            <w:pPr>
              <w:pStyle w:val="Corpotesto"/>
              <w:spacing w:before="100" w:beforeAutospacing="1" w:after="100" w:afterAutospacing="1" w:line="360" w:lineRule="auto"/>
              <w:jc w:val="center"/>
              <w:rPr>
                <w:sz w:val="20"/>
                <w:szCs w:val="20"/>
              </w:rPr>
            </w:pPr>
            <w:r>
              <w:rPr>
                <w:sz w:val="20"/>
                <w:szCs w:val="20"/>
              </w:rPr>
              <w:t>4</w:t>
            </w:r>
            <w:r w:rsidR="000D10E1">
              <w:rPr>
                <w:sz w:val="20"/>
                <w:szCs w:val="20"/>
              </w:rPr>
              <w:t>0</w:t>
            </w:r>
            <w:r>
              <w:rPr>
                <w:sz w:val="20"/>
                <w:szCs w:val="20"/>
              </w:rPr>
              <w:t>.000.000/00 €</w:t>
            </w:r>
          </w:p>
        </w:tc>
      </w:tr>
      <w:tr w:rsidR="000D10E1" w:rsidTr="008429BB">
        <w:trPr>
          <w:trHeight w:val="88"/>
        </w:trPr>
        <w:tc>
          <w:tcPr>
            <w:tcW w:w="462" w:type="dxa"/>
            <w:vMerge/>
            <w:vAlign w:val="center"/>
          </w:tcPr>
          <w:p w:rsidR="000D10E1" w:rsidRPr="008429BB" w:rsidRDefault="000D10E1" w:rsidP="00A43655">
            <w:pPr>
              <w:pStyle w:val="Corpotesto"/>
              <w:spacing w:before="100" w:beforeAutospacing="1" w:after="100" w:afterAutospacing="1" w:line="360" w:lineRule="auto"/>
              <w:jc w:val="center"/>
              <w:rPr>
                <w:b/>
                <w:i/>
                <w:sz w:val="20"/>
                <w:szCs w:val="20"/>
              </w:rPr>
            </w:pPr>
          </w:p>
        </w:tc>
        <w:tc>
          <w:tcPr>
            <w:tcW w:w="3242" w:type="dxa"/>
            <w:vMerge/>
            <w:vAlign w:val="center"/>
          </w:tcPr>
          <w:p w:rsidR="000D10E1" w:rsidRPr="000D10E1" w:rsidRDefault="000D10E1" w:rsidP="00A43655">
            <w:pPr>
              <w:pStyle w:val="Default"/>
              <w:rPr>
                <w:rFonts w:ascii="Times New Roman" w:hAnsi="Times New Roman" w:cs="Times New Roman"/>
                <w:b/>
                <w:bCs/>
                <w:iCs/>
                <w:sz w:val="20"/>
                <w:szCs w:val="20"/>
              </w:rPr>
            </w:pPr>
          </w:p>
        </w:tc>
        <w:tc>
          <w:tcPr>
            <w:tcW w:w="1815" w:type="dxa"/>
            <w:vAlign w:val="center"/>
          </w:tcPr>
          <w:p w:rsidR="000D10E1" w:rsidRPr="003C3F40" w:rsidRDefault="003C3F40" w:rsidP="00A43655">
            <w:pPr>
              <w:pStyle w:val="Corpotesto"/>
              <w:spacing w:before="100" w:beforeAutospacing="1" w:after="100" w:afterAutospacing="1" w:line="360" w:lineRule="auto"/>
              <w:jc w:val="center"/>
              <w:rPr>
                <w:sz w:val="18"/>
                <w:szCs w:val="18"/>
              </w:rPr>
            </w:pPr>
            <w:r w:rsidRPr="003C3F40">
              <w:rPr>
                <w:sz w:val="18"/>
                <w:szCs w:val="18"/>
              </w:rPr>
              <w:t>Ripristino linea Palermo-Trapani via Milo</w:t>
            </w:r>
          </w:p>
        </w:tc>
        <w:tc>
          <w:tcPr>
            <w:tcW w:w="1808" w:type="dxa"/>
            <w:vMerge/>
            <w:vAlign w:val="center"/>
          </w:tcPr>
          <w:p w:rsidR="000D10E1" w:rsidRPr="00A43655" w:rsidRDefault="000D10E1" w:rsidP="00A43655">
            <w:pPr>
              <w:pStyle w:val="Corpotesto"/>
              <w:spacing w:before="100" w:beforeAutospacing="1" w:after="100" w:afterAutospacing="1" w:line="360" w:lineRule="auto"/>
              <w:jc w:val="center"/>
              <w:rPr>
                <w:sz w:val="20"/>
                <w:szCs w:val="20"/>
              </w:rPr>
            </w:pPr>
          </w:p>
        </w:tc>
        <w:tc>
          <w:tcPr>
            <w:tcW w:w="1811" w:type="dxa"/>
            <w:vAlign w:val="center"/>
          </w:tcPr>
          <w:p w:rsidR="000D10E1" w:rsidRDefault="003C3F40" w:rsidP="00A43655">
            <w:pPr>
              <w:pStyle w:val="Corpotesto"/>
              <w:spacing w:before="100" w:beforeAutospacing="1" w:after="100" w:afterAutospacing="1" w:line="360" w:lineRule="auto"/>
              <w:jc w:val="center"/>
              <w:rPr>
                <w:sz w:val="20"/>
                <w:szCs w:val="20"/>
              </w:rPr>
            </w:pPr>
            <w:r>
              <w:rPr>
                <w:sz w:val="20"/>
                <w:szCs w:val="20"/>
              </w:rPr>
              <w:t>5.200.000/00 €</w:t>
            </w:r>
          </w:p>
        </w:tc>
      </w:tr>
      <w:tr w:rsidR="000D10E1" w:rsidTr="008429BB">
        <w:trPr>
          <w:trHeight w:val="88"/>
        </w:trPr>
        <w:tc>
          <w:tcPr>
            <w:tcW w:w="462" w:type="dxa"/>
            <w:vMerge/>
            <w:vAlign w:val="center"/>
          </w:tcPr>
          <w:p w:rsidR="000D10E1" w:rsidRPr="008429BB" w:rsidRDefault="000D10E1" w:rsidP="00A43655">
            <w:pPr>
              <w:pStyle w:val="Corpotesto"/>
              <w:spacing w:before="100" w:beforeAutospacing="1" w:after="100" w:afterAutospacing="1" w:line="360" w:lineRule="auto"/>
              <w:jc w:val="center"/>
              <w:rPr>
                <w:b/>
                <w:i/>
                <w:sz w:val="20"/>
                <w:szCs w:val="20"/>
              </w:rPr>
            </w:pPr>
          </w:p>
        </w:tc>
        <w:tc>
          <w:tcPr>
            <w:tcW w:w="3242" w:type="dxa"/>
            <w:vMerge/>
            <w:vAlign w:val="center"/>
          </w:tcPr>
          <w:p w:rsidR="000D10E1" w:rsidRPr="000D10E1" w:rsidRDefault="000D10E1" w:rsidP="00A43655">
            <w:pPr>
              <w:pStyle w:val="Default"/>
              <w:rPr>
                <w:rFonts w:ascii="Times New Roman" w:hAnsi="Times New Roman" w:cs="Times New Roman"/>
                <w:b/>
                <w:bCs/>
                <w:iCs/>
                <w:sz w:val="20"/>
                <w:szCs w:val="20"/>
              </w:rPr>
            </w:pPr>
          </w:p>
        </w:tc>
        <w:tc>
          <w:tcPr>
            <w:tcW w:w="1815" w:type="dxa"/>
            <w:vAlign w:val="center"/>
          </w:tcPr>
          <w:p w:rsidR="000D10E1" w:rsidRPr="003C3F40" w:rsidRDefault="003C3F40" w:rsidP="00A43655">
            <w:pPr>
              <w:pStyle w:val="Corpotesto"/>
              <w:spacing w:before="100" w:beforeAutospacing="1" w:after="100" w:afterAutospacing="1" w:line="360" w:lineRule="auto"/>
              <w:jc w:val="center"/>
              <w:rPr>
                <w:sz w:val="18"/>
                <w:szCs w:val="18"/>
              </w:rPr>
            </w:pPr>
            <w:r w:rsidRPr="003C3F40">
              <w:rPr>
                <w:sz w:val="18"/>
                <w:szCs w:val="18"/>
              </w:rPr>
              <w:t>Elettrificazione Palermo - Trapani via Milo</w:t>
            </w:r>
          </w:p>
        </w:tc>
        <w:tc>
          <w:tcPr>
            <w:tcW w:w="1808" w:type="dxa"/>
            <w:vMerge/>
            <w:vAlign w:val="center"/>
          </w:tcPr>
          <w:p w:rsidR="000D10E1" w:rsidRPr="00A43655" w:rsidRDefault="000D10E1" w:rsidP="00A43655">
            <w:pPr>
              <w:pStyle w:val="Corpotesto"/>
              <w:spacing w:before="100" w:beforeAutospacing="1" w:after="100" w:afterAutospacing="1" w:line="360" w:lineRule="auto"/>
              <w:jc w:val="center"/>
              <w:rPr>
                <w:sz w:val="20"/>
                <w:szCs w:val="20"/>
              </w:rPr>
            </w:pPr>
          </w:p>
        </w:tc>
        <w:tc>
          <w:tcPr>
            <w:tcW w:w="1811" w:type="dxa"/>
            <w:vAlign w:val="center"/>
          </w:tcPr>
          <w:p w:rsidR="000D10E1" w:rsidRDefault="003C3F40" w:rsidP="00A43655">
            <w:pPr>
              <w:pStyle w:val="Corpotesto"/>
              <w:spacing w:before="100" w:beforeAutospacing="1" w:after="100" w:afterAutospacing="1" w:line="360" w:lineRule="auto"/>
              <w:jc w:val="center"/>
              <w:rPr>
                <w:sz w:val="20"/>
                <w:szCs w:val="20"/>
              </w:rPr>
            </w:pPr>
            <w:r>
              <w:rPr>
                <w:sz w:val="20"/>
                <w:szCs w:val="20"/>
              </w:rPr>
              <w:t>64.000.000/00 €</w:t>
            </w:r>
          </w:p>
        </w:tc>
      </w:tr>
      <w:tr w:rsidR="00A43655" w:rsidTr="008429BB">
        <w:tc>
          <w:tcPr>
            <w:tcW w:w="462" w:type="dxa"/>
            <w:vAlign w:val="center"/>
          </w:tcPr>
          <w:p w:rsidR="00A43655" w:rsidRPr="008429BB" w:rsidRDefault="00A43655" w:rsidP="00A43655">
            <w:pPr>
              <w:pStyle w:val="Corpotesto"/>
              <w:spacing w:before="100" w:beforeAutospacing="1" w:after="100" w:afterAutospacing="1" w:line="360" w:lineRule="auto"/>
              <w:jc w:val="center"/>
              <w:rPr>
                <w:b/>
                <w:i/>
                <w:sz w:val="20"/>
                <w:szCs w:val="20"/>
              </w:rPr>
            </w:pPr>
            <w:r w:rsidRPr="008429BB">
              <w:rPr>
                <w:b/>
                <w:i/>
                <w:sz w:val="20"/>
                <w:szCs w:val="20"/>
              </w:rPr>
              <w:t>9</w:t>
            </w:r>
          </w:p>
        </w:tc>
        <w:tc>
          <w:tcPr>
            <w:tcW w:w="3242" w:type="dxa"/>
            <w:vAlign w:val="center"/>
          </w:tcPr>
          <w:p w:rsidR="00A43655" w:rsidRPr="008429BB" w:rsidRDefault="00A43655" w:rsidP="00A43655">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Grandi progetti cultura </w:t>
            </w:r>
          </w:p>
        </w:tc>
        <w:tc>
          <w:tcPr>
            <w:tcW w:w="1815"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Castello della Colombaia</w:t>
            </w:r>
          </w:p>
        </w:tc>
        <w:tc>
          <w:tcPr>
            <w:tcW w:w="1808"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roofErr w:type="gramStart"/>
            <w:r w:rsidRPr="00A43655">
              <w:rPr>
                <w:sz w:val="20"/>
                <w:szCs w:val="20"/>
              </w:rPr>
              <w:t>ministero</w:t>
            </w:r>
            <w:proofErr w:type="gramEnd"/>
            <w:r w:rsidRPr="00A43655">
              <w:rPr>
                <w:sz w:val="20"/>
                <w:szCs w:val="20"/>
              </w:rPr>
              <w:t xml:space="preserve"> della Cultura</w:t>
            </w:r>
          </w:p>
        </w:tc>
        <w:tc>
          <w:tcPr>
            <w:tcW w:w="1811"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27.000.000/00 €</w:t>
            </w:r>
          </w:p>
        </w:tc>
      </w:tr>
      <w:tr w:rsidR="00A43655" w:rsidTr="008429BB">
        <w:tc>
          <w:tcPr>
            <w:tcW w:w="462" w:type="dxa"/>
            <w:vAlign w:val="center"/>
          </w:tcPr>
          <w:p w:rsidR="00A43655" w:rsidRPr="008429BB" w:rsidRDefault="00A43655" w:rsidP="00A43655">
            <w:pPr>
              <w:pStyle w:val="Corpotesto"/>
              <w:spacing w:before="100" w:beforeAutospacing="1" w:after="100" w:afterAutospacing="1" w:line="360" w:lineRule="auto"/>
              <w:jc w:val="center"/>
              <w:rPr>
                <w:b/>
                <w:i/>
                <w:sz w:val="20"/>
                <w:szCs w:val="20"/>
              </w:rPr>
            </w:pPr>
            <w:r w:rsidRPr="008429BB">
              <w:rPr>
                <w:b/>
                <w:i/>
                <w:sz w:val="20"/>
                <w:szCs w:val="20"/>
              </w:rPr>
              <w:t>10</w:t>
            </w:r>
          </w:p>
        </w:tc>
        <w:tc>
          <w:tcPr>
            <w:tcW w:w="3242" w:type="dxa"/>
            <w:vAlign w:val="center"/>
          </w:tcPr>
          <w:p w:rsidR="00A43655" w:rsidRPr="008429BB" w:rsidRDefault="00A43655" w:rsidP="00A43655">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Cittadelle giudiziarie </w:t>
            </w:r>
          </w:p>
        </w:tc>
        <w:tc>
          <w:tcPr>
            <w:tcW w:w="1815"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08"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11"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0</w:t>
            </w:r>
          </w:p>
        </w:tc>
      </w:tr>
      <w:tr w:rsidR="00A43655" w:rsidTr="008429BB">
        <w:tc>
          <w:tcPr>
            <w:tcW w:w="462" w:type="dxa"/>
            <w:vAlign w:val="center"/>
          </w:tcPr>
          <w:p w:rsidR="00A43655" w:rsidRPr="008429BB" w:rsidRDefault="00A43655" w:rsidP="00A43655">
            <w:pPr>
              <w:pStyle w:val="Corpotesto"/>
              <w:spacing w:before="100" w:beforeAutospacing="1" w:after="100" w:afterAutospacing="1" w:line="360" w:lineRule="auto"/>
              <w:jc w:val="center"/>
              <w:rPr>
                <w:b/>
                <w:i/>
                <w:sz w:val="20"/>
                <w:szCs w:val="20"/>
              </w:rPr>
            </w:pPr>
          </w:p>
        </w:tc>
        <w:tc>
          <w:tcPr>
            <w:tcW w:w="3242" w:type="dxa"/>
            <w:vAlign w:val="center"/>
          </w:tcPr>
          <w:p w:rsidR="00A43655" w:rsidRPr="008429BB" w:rsidRDefault="00A43655" w:rsidP="00A43655">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Rigenerazione urbana - 2 </w:t>
            </w:r>
          </w:p>
        </w:tc>
        <w:tc>
          <w:tcPr>
            <w:tcW w:w="1815"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08"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11"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r>
              <w:rPr>
                <w:sz w:val="20"/>
                <w:szCs w:val="20"/>
              </w:rPr>
              <w:t>0</w:t>
            </w:r>
          </w:p>
        </w:tc>
      </w:tr>
      <w:tr w:rsidR="00A43655" w:rsidTr="008429BB">
        <w:tc>
          <w:tcPr>
            <w:tcW w:w="462" w:type="dxa"/>
            <w:vAlign w:val="center"/>
          </w:tcPr>
          <w:p w:rsidR="00A43655" w:rsidRPr="008429BB" w:rsidRDefault="00A43655" w:rsidP="00A43655">
            <w:pPr>
              <w:pStyle w:val="Corpotesto"/>
              <w:spacing w:before="100" w:beforeAutospacing="1" w:after="100" w:afterAutospacing="1" w:line="360" w:lineRule="auto"/>
              <w:jc w:val="center"/>
              <w:rPr>
                <w:b/>
                <w:i/>
                <w:sz w:val="20"/>
                <w:szCs w:val="20"/>
              </w:rPr>
            </w:pPr>
          </w:p>
        </w:tc>
        <w:tc>
          <w:tcPr>
            <w:tcW w:w="3242" w:type="dxa"/>
            <w:vAlign w:val="center"/>
          </w:tcPr>
          <w:p w:rsidR="00A43655" w:rsidRPr="008429BB" w:rsidRDefault="00A43655" w:rsidP="00A43655">
            <w:pPr>
              <w:pStyle w:val="Default"/>
              <w:rPr>
                <w:rFonts w:ascii="Times New Roman" w:hAnsi="Times New Roman" w:cs="Times New Roman"/>
                <w:sz w:val="20"/>
                <w:szCs w:val="20"/>
              </w:rPr>
            </w:pPr>
            <w:r w:rsidRPr="008429BB">
              <w:rPr>
                <w:rFonts w:ascii="Times New Roman" w:hAnsi="Times New Roman" w:cs="Times New Roman"/>
                <w:b/>
                <w:bCs/>
                <w:sz w:val="20"/>
                <w:szCs w:val="20"/>
              </w:rPr>
              <w:t xml:space="preserve">TOTALE </w:t>
            </w:r>
          </w:p>
        </w:tc>
        <w:tc>
          <w:tcPr>
            <w:tcW w:w="1815" w:type="dxa"/>
            <w:vAlign w:val="center"/>
          </w:tcPr>
          <w:p w:rsidR="00A43655" w:rsidRPr="006132BC" w:rsidRDefault="00A43655" w:rsidP="00A43655">
            <w:pPr>
              <w:pStyle w:val="Corpotesto"/>
              <w:spacing w:before="100" w:beforeAutospacing="1" w:after="100" w:afterAutospacing="1" w:line="360" w:lineRule="auto"/>
              <w:jc w:val="center"/>
              <w:rPr>
                <w:sz w:val="18"/>
                <w:szCs w:val="18"/>
              </w:rPr>
            </w:pPr>
          </w:p>
        </w:tc>
        <w:tc>
          <w:tcPr>
            <w:tcW w:w="1808" w:type="dxa"/>
            <w:vAlign w:val="center"/>
          </w:tcPr>
          <w:p w:rsidR="00A43655" w:rsidRPr="00A43655" w:rsidRDefault="00A43655" w:rsidP="00A43655">
            <w:pPr>
              <w:pStyle w:val="Corpotesto"/>
              <w:spacing w:before="100" w:beforeAutospacing="1" w:after="100" w:afterAutospacing="1" w:line="360" w:lineRule="auto"/>
              <w:jc w:val="center"/>
              <w:rPr>
                <w:sz w:val="20"/>
                <w:szCs w:val="20"/>
              </w:rPr>
            </w:pPr>
          </w:p>
        </w:tc>
        <w:tc>
          <w:tcPr>
            <w:tcW w:w="1811" w:type="dxa"/>
            <w:vAlign w:val="center"/>
          </w:tcPr>
          <w:p w:rsidR="00A43655" w:rsidRPr="00A43655" w:rsidRDefault="00467BC4" w:rsidP="00A43655">
            <w:pPr>
              <w:pStyle w:val="Corpotesto"/>
              <w:spacing w:before="100" w:beforeAutospacing="1" w:after="100" w:afterAutospacing="1" w:line="360" w:lineRule="auto"/>
              <w:jc w:val="center"/>
              <w:rPr>
                <w:sz w:val="20"/>
                <w:szCs w:val="20"/>
              </w:rPr>
            </w:pPr>
            <w:r>
              <w:rPr>
                <w:sz w:val="20"/>
                <w:szCs w:val="20"/>
              </w:rPr>
              <w:t>257.000.000/00 €</w:t>
            </w:r>
          </w:p>
        </w:tc>
      </w:tr>
    </w:tbl>
    <w:p w:rsidR="008429BB" w:rsidRPr="00DF3AEA" w:rsidRDefault="008429BB" w:rsidP="00D313B4">
      <w:pPr>
        <w:pStyle w:val="Corpotesto"/>
        <w:spacing w:before="100" w:beforeAutospacing="1" w:after="100" w:afterAutospacing="1" w:line="360" w:lineRule="auto"/>
        <w:jc w:val="both"/>
        <w:rPr>
          <w:b/>
          <w:i/>
          <w:sz w:val="23"/>
          <w:szCs w:val="23"/>
          <w:u w:val="single"/>
        </w:rPr>
      </w:pPr>
    </w:p>
    <w:sectPr w:rsidR="008429BB" w:rsidRPr="00DF3AEA" w:rsidSect="006B10B9">
      <w:type w:val="continuous"/>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F90"/>
    <w:multiLevelType w:val="hybridMultilevel"/>
    <w:tmpl w:val="98627C1C"/>
    <w:lvl w:ilvl="0" w:tplc="1EEEEB6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76"/>
    <w:rsid w:val="00036CD1"/>
    <w:rsid w:val="00045AE6"/>
    <w:rsid w:val="000D10E1"/>
    <w:rsid w:val="000F4274"/>
    <w:rsid w:val="000F6841"/>
    <w:rsid w:val="00100D91"/>
    <w:rsid w:val="00183A6F"/>
    <w:rsid w:val="001D1C85"/>
    <w:rsid w:val="00262A5F"/>
    <w:rsid w:val="0027553F"/>
    <w:rsid w:val="00383F76"/>
    <w:rsid w:val="003B7A16"/>
    <w:rsid w:val="003C3F40"/>
    <w:rsid w:val="003C6524"/>
    <w:rsid w:val="003D644E"/>
    <w:rsid w:val="00467BC4"/>
    <w:rsid w:val="004850FC"/>
    <w:rsid w:val="0049300D"/>
    <w:rsid w:val="00496CCF"/>
    <w:rsid w:val="004B0451"/>
    <w:rsid w:val="004C6D39"/>
    <w:rsid w:val="00506AD6"/>
    <w:rsid w:val="00547F61"/>
    <w:rsid w:val="0055441B"/>
    <w:rsid w:val="0057746C"/>
    <w:rsid w:val="005B583B"/>
    <w:rsid w:val="005E71D9"/>
    <w:rsid w:val="005F30C2"/>
    <w:rsid w:val="006132BC"/>
    <w:rsid w:val="00637017"/>
    <w:rsid w:val="00683913"/>
    <w:rsid w:val="006B10B9"/>
    <w:rsid w:val="006F3907"/>
    <w:rsid w:val="008159DE"/>
    <w:rsid w:val="00817041"/>
    <w:rsid w:val="0083592D"/>
    <w:rsid w:val="00837A86"/>
    <w:rsid w:val="008429BB"/>
    <w:rsid w:val="008624D0"/>
    <w:rsid w:val="00895351"/>
    <w:rsid w:val="008D1CA4"/>
    <w:rsid w:val="0092663D"/>
    <w:rsid w:val="00950067"/>
    <w:rsid w:val="00957353"/>
    <w:rsid w:val="009954FB"/>
    <w:rsid w:val="009B5AC1"/>
    <w:rsid w:val="00A176DC"/>
    <w:rsid w:val="00A323B1"/>
    <w:rsid w:val="00A34E05"/>
    <w:rsid w:val="00A43655"/>
    <w:rsid w:val="00A534BC"/>
    <w:rsid w:val="00A53642"/>
    <w:rsid w:val="00A77BE1"/>
    <w:rsid w:val="00AA6099"/>
    <w:rsid w:val="00AD7A83"/>
    <w:rsid w:val="00B62570"/>
    <w:rsid w:val="00B81405"/>
    <w:rsid w:val="00C37E79"/>
    <w:rsid w:val="00C5366F"/>
    <w:rsid w:val="00C70A1C"/>
    <w:rsid w:val="00CE7AB1"/>
    <w:rsid w:val="00D20D96"/>
    <w:rsid w:val="00D313B4"/>
    <w:rsid w:val="00D77E98"/>
    <w:rsid w:val="00DF3AEA"/>
    <w:rsid w:val="00DF576B"/>
    <w:rsid w:val="00F0354A"/>
    <w:rsid w:val="00FD6E74"/>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01B8F-D3F1-4CAF-8604-25E84D5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8140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81405"/>
    <w:tblPr>
      <w:tblInd w:w="0" w:type="dxa"/>
      <w:tblCellMar>
        <w:top w:w="0" w:type="dxa"/>
        <w:left w:w="0" w:type="dxa"/>
        <w:bottom w:w="0" w:type="dxa"/>
        <w:right w:w="0" w:type="dxa"/>
      </w:tblCellMar>
    </w:tblPr>
  </w:style>
  <w:style w:type="paragraph" w:styleId="Corpotesto">
    <w:name w:val="Body Text"/>
    <w:basedOn w:val="Normale"/>
    <w:uiPriority w:val="1"/>
    <w:qFormat/>
    <w:rsid w:val="00B81405"/>
    <w:rPr>
      <w:sz w:val="24"/>
      <w:szCs w:val="24"/>
    </w:rPr>
  </w:style>
  <w:style w:type="paragraph" w:styleId="Titolo">
    <w:name w:val="Title"/>
    <w:basedOn w:val="Normale"/>
    <w:uiPriority w:val="1"/>
    <w:qFormat/>
    <w:rsid w:val="00B81405"/>
    <w:pPr>
      <w:ind w:left="112"/>
    </w:pPr>
    <w:rPr>
      <w:b/>
      <w:bCs/>
      <w:sz w:val="24"/>
      <w:szCs w:val="24"/>
    </w:rPr>
  </w:style>
  <w:style w:type="paragraph" w:styleId="Paragrafoelenco">
    <w:name w:val="List Paragraph"/>
    <w:basedOn w:val="Normale"/>
    <w:uiPriority w:val="1"/>
    <w:qFormat/>
    <w:rsid w:val="00B81405"/>
  </w:style>
  <w:style w:type="paragraph" w:customStyle="1" w:styleId="TableParagraph">
    <w:name w:val="Table Paragraph"/>
    <w:basedOn w:val="Normale"/>
    <w:uiPriority w:val="1"/>
    <w:qFormat/>
    <w:rsid w:val="00B81405"/>
  </w:style>
  <w:style w:type="paragraph" w:styleId="Testofumetto">
    <w:name w:val="Balloon Text"/>
    <w:basedOn w:val="Normale"/>
    <w:link w:val="TestofumettoCarattere"/>
    <w:uiPriority w:val="99"/>
    <w:semiHidden/>
    <w:unhideWhenUsed/>
    <w:rsid w:val="00A77B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BE1"/>
    <w:rPr>
      <w:rFonts w:ascii="Tahoma" w:eastAsia="Times New Roman" w:hAnsi="Tahoma" w:cs="Tahoma"/>
      <w:sz w:val="16"/>
      <w:szCs w:val="16"/>
      <w:lang w:val="it-IT"/>
    </w:rPr>
  </w:style>
  <w:style w:type="paragraph" w:customStyle="1" w:styleId="Default">
    <w:name w:val="Default"/>
    <w:rsid w:val="006B10B9"/>
    <w:pPr>
      <w:widowControl/>
      <w:adjustRightInd w:val="0"/>
    </w:pPr>
    <w:rPr>
      <w:rFonts w:ascii="Arial" w:hAnsi="Arial" w:cs="Arial"/>
      <w:color w:val="000000"/>
      <w:sz w:val="24"/>
      <w:szCs w:val="24"/>
      <w:lang w:val="it-IT"/>
    </w:rPr>
  </w:style>
  <w:style w:type="character" w:styleId="Enfasicorsivo">
    <w:name w:val="Emphasis"/>
    <w:basedOn w:val="Carpredefinitoparagrafo"/>
    <w:uiPriority w:val="20"/>
    <w:qFormat/>
    <w:rsid w:val="00C70A1C"/>
    <w:rPr>
      <w:i/>
      <w:iCs/>
    </w:rPr>
  </w:style>
  <w:style w:type="character" w:styleId="Enfasigrassetto">
    <w:name w:val="Strong"/>
    <w:basedOn w:val="Carpredefinitoparagrafo"/>
    <w:uiPriority w:val="22"/>
    <w:qFormat/>
    <w:rsid w:val="00C70A1C"/>
    <w:rPr>
      <w:b/>
      <w:bCs/>
    </w:rPr>
  </w:style>
  <w:style w:type="character" w:styleId="Collegamentoipertestuale">
    <w:name w:val="Hyperlink"/>
    <w:basedOn w:val="Carpredefinitoparagrafo"/>
    <w:uiPriority w:val="99"/>
    <w:semiHidden/>
    <w:unhideWhenUsed/>
    <w:rsid w:val="00C70A1C"/>
    <w:rPr>
      <w:color w:val="0000FF"/>
      <w:u w:val="single"/>
    </w:rPr>
  </w:style>
  <w:style w:type="table" w:styleId="Grigliatabella">
    <w:name w:val="Table Grid"/>
    <w:basedOn w:val="Tabellanormale"/>
    <w:uiPriority w:val="39"/>
    <w:rsid w:val="00842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18092">
      <w:bodyDiv w:val="1"/>
      <w:marLeft w:val="0"/>
      <w:marRight w:val="0"/>
      <w:marTop w:val="0"/>
      <w:marBottom w:val="0"/>
      <w:divBdr>
        <w:top w:val="none" w:sz="0" w:space="0" w:color="auto"/>
        <w:left w:val="none" w:sz="0" w:space="0" w:color="auto"/>
        <w:bottom w:val="none" w:sz="0" w:space="0" w:color="auto"/>
        <w:right w:val="none" w:sz="0" w:space="0" w:color="auto"/>
      </w:divBdr>
      <w:divsChild>
        <w:div w:id="1182013641">
          <w:marLeft w:val="720"/>
          <w:marRight w:val="0"/>
          <w:marTop w:val="0"/>
          <w:marBottom w:val="0"/>
          <w:divBdr>
            <w:top w:val="none" w:sz="0" w:space="0" w:color="auto"/>
            <w:left w:val="none" w:sz="0" w:space="0" w:color="auto"/>
            <w:bottom w:val="none" w:sz="0" w:space="0" w:color="auto"/>
            <w:right w:val="none" w:sz="0" w:space="0" w:color="auto"/>
          </w:divBdr>
          <w:divsChild>
            <w:div w:id="1890726697">
              <w:marLeft w:val="0"/>
              <w:marRight w:val="0"/>
              <w:marTop w:val="0"/>
              <w:marBottom w:val="0"/>
              <w:divBdr>
                <w:top w:val="none" w:sz="0" w:space="0" w:color="auto"/>
                <w:left w:val="none" w:sz="0" w:space="0" w:color="auto"/>
                <w:bottom w:val="none" w:sz="0" w:space="0" w:color="auto"/>
                <w:right w:val="none" w:sz="0" w:space="0" w:color="auto"/>
              </w:divBdr>
            </w:div>
          </w:divsChild>
        </w:div>
        <w:div w:id="1259942794">
          <w:marLeft w:val="0"/>
          <w:marRight w:val="0"/>
          <w:marTop w:val="360"/>
          <w:marBottom w:val="0"/>
          <w:divBdr>
            <w:top w:val="none" w:sz="0" w:space="0" w:color="auto"/>
            <w:left w:val="none" w:sz="0" w:space="0" w:color="auto"/>
            <w:bottom w:val="none" w:sz="0" w:space="0" w:color="auto"/>
            <w:right w:val="none" w:sz="0" w:space="0" w:color="auto"/>
          </w:divBdr>
          <w:divsChild>
            <w:div w:id="1415201592">
              <w:marLeft w:val="0"/>
              <w:marRight w:val="0"/>
              <w:marTop w:val="0"/>
              <w:marBottom w:val="0"/>
              <w:divBdr>
                <w:top w:val="none" w:sz="0" w:space="0" w:color="auto"/>
                <w:left w:val="none" w:sz="0" w:space="0" w:color="auto"/>
                <w:bottom w:val="none" w:sz="0" w:space="0" w:color="auto"/>
                <w:right w:val="none" w:sz="0" w:space="0" w:color="auto"/>
              </w:divBdr>
              <w:divsChild>
                <w:div w:id="553807685">
                  <w:marLeft w:val="0"/>
                  <w:marRight w:val="0"/>
                  <w:marTop w:val="0"/>
                  <w:marBottom w:val="0"/>
                  <w:divBdr>
                    <w:top w:val="none" w:sz="0" w:space="0" w:color="auto"/>
                    <w:left w:val="none" w:sz="0" w:space="0" w:color="auto"/>
                    <w:bottom w:val="none" w:sz="0" w:space="0" w:color="auto"/>
                    <w:right w:val="none" w:sz="0" w:space="0" w:color="auto"/>
                  </w:divBdr>
                  <w:divsChild>
                    <w:div w:id="1454902902">
                      <w:marLeft w:val="0"/>
                      <w:marRight w:val="0"/>
                      <w:marTop w:val="0"/>
                      <w:marBottom w:val="0"/>
                      <w:divBdr>
                        <w:top w:val="none" w:sz="0" w:space="0" w:color="auto"/>
                        <w:left w:val="none" w:sz="0" w:space="0" w:color="auto"/>
                        <w:bottom w:val="none" w:sz="0" w:space="0" w:color="auto"/>
                        <w:right w:val="none" w:sz="0" w:space="0" w:color="auto"/>
                      </w:divBdr>
                    </w:div>
                    <w:div w:id="1272587327">
                      <w:marLeft w:val="0"/>
                      <w:marRight w:val="0"/>
                      <w:marTop w:val="0"/>
                      <w:marBottom w:val="0"/>
                      <w:divBdr>
                        <w:top w:val="none" w:sz="0" w:space="0" w:color="auto"/>
                        <w:left w:val="none" w:sz="0" w:space="0" w:color="auto"/>
                        <w:bottom w:val="none" w:sz="0" w:space="0" w:color="auto"/>
                        <w:right w:val="none" w:sz="0" w:space="0" w:color="auto"/>
                      </w:divBdr>
                    </w:div>
                    <w:div w:id="1586377648">
                      <w:marLeft w:val="0"/>
                      <w:marRight w:val="0"/>
                      <w:marTop w:val="0"/>
                      <w:marBottom w:val="0"/>
                      <w:divBdr>
                        <w:top w:val="none" w:sz="0" w:space="0" w:color="auto"/>
                        <w:left w:val="none" w:sz="0" w:space="0" w:color="auto"/>
                        <w:bottom w:val="none" w:sz="0" w:space="0" w:color="auto"/>
                        <w:right w:val="none" w:sz="0" w:space="0" w:color="auto"/>
                      </w:divBdr>
                      <w:divsChild>
                        <w:div w:id="153645644">
                          <w:marLeft w:val="0"/>
                          <w:marRight w:val="0"/>
                          <w:marTop w:val="0"/>
                          <w:marBottom w:val="0"/>
                          <w:divBdr>
                            <w:top w:val="none" w:sz="0" w:space="0" w:color="auto"/>
                            <w:left w:val="none" w:sz="0" w:space="0" w:color="auto"/>
                            <w:bottom w:val="none" w:sz="0" w:space="0" w:color="auto"/>
                            <w:right w:val="none" w:sz="0" w:space="0" w:color="auto"/>
                          </w:divBdr>
                        </w:div>
                        <w:div w:id="1904215599">
                          <w:marLeft w:val="0"/>
                          <w:marRight w:val="0"/>
                          <w:marTop w:val="0"/>
                          <w:marBottom w:val="0"/>
                          <w:divBdr>
                            <w:top w:val="none" w:sz="0" w:space="0" w:color="auto"/>
                            <w:left w:val="none" w:sz="0" w:space="0" w:color="auto"/>
                            <w:bottom w:val="none" w:sz="0" w:space="0" w:color="auto"/>
                            <w:right w:val="none" w:sz="0" w:space="0" w:color="auto"/>
                          </w:divBdr>
                        </w:div>
                        <w:div w:id="1277981405">
                          <w:marLeft w:val="0"/>
                          <w:marRight w:val="0"/>
                          <w:marTop w:val="0"/>
                          <w:marBottom w:val="0"/>
                          <w:divBdr>
                            <w:top w:val="none" w:sz="0" w:space="0" w:color="auto"/>
                            <w:left w:val="none" w:sz="0" w:space="0" w:color="auto"/>
                            <w:bottom w:val="none" w:sz="0" w:space="0" w:color="auto"/>
                            <w:right w:val="none" w:sz="0" w:space="0" w:color="auto"/>
                          </w:divBdr>
                        </w:div>
                        <w:div w:id="835654631">
                          <w:marLeft w:val="0"/>
                          <w:marRight w:val="0"/>
                          <w:marTop w:val="0"/>
                          <w:marBottom w:val="0"/>
                          <w:divBdr>
                            <w:top w:val="none" w:sz="0" w:space="0" w:color="auto"/>
                            <w:left w:val="none" w:sz="0" w:space="0" w:color="auto"/>
                            <w:bottom w:val="none" w:sz="0" w:space="0" w:color="auto"/>
                            <w:right w:val="none" w:sz="0" w:space="0" w:color="auto"/>
                          </w:divBdr>
                        </w:div>
                        <w:div w:id="575936109">
                          <w:marLeft w:val="0"/>
                          <w:marRight w:val="0"/>
                          <w:marTop w:val="0"/>
                          <w:marBottom w:val="0"/>
                          <w:divBdr>
                            <w:top w:val="none" w:sz="0" w:space="0" w:color="auto"/>
                            <w:left w:val="none" w:sz="0" w:space="0" w:color="auto"/>
                            <w:bottom w:val="none" w:sz="0" w:space="0" w:color="auto"/>
                            <w:right w:val="none" w:sz="0" w:space="0" w:color="auto"/>
                          </w:divBdr>
                        </w:div>
                        <w:div w:id="16942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1948</Words>
  <Characters>11105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Fabrizio</cp:lastModifiedBy>
  <cp:revision>2</cp:revision>
  <cp:lastPrinted>2022-07-12T11:00:00Z</cp:lastPrinted>
  <dcterms:created xsi:type="dcterms:W3CDTF">2022-07-12T18:01:00Z</dcterms:created>
  <dcterms:modified xsi:type="dcterms:W3CDTF">2022-07-12T18:01:00Z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Microsoft® Word 2013</vt:lpwstr>
  </property>
  <property fmtid="{D5CDD505-2E9C-101B-9397-08002B2CF9AE}" pid="4" name="LastSaved">
    <vt:filetime>2022-02-08T00:00:00Z</vt:filetime>
  </property>
</Properties>
</file>